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ATA/1187/2017 vom 22. August 2017</w:t>
      </w:r>
    </w:p>
    <w:p>
      <w:r>
        <w:t>GE Cour de justice, 2017-08-22, FR</w:t>
      </w:r>
    </w:p>
    <w:p>
      <w:r>
        <w:rPr>
          <w:b/>
        </w:rPr>
        <w:t xml:space="preserve">Quelle: </w:t>
      </w:r>
      <w:r>
        <w:t>https://mcp.opencaselaw.ch/entscheid/ge_gerichte_ATA_1187_2017</w:t>
      </w:r>
    </w:p>
    <w:p>
      <w:r>
        <w:t>FR: GE_GERICHTE ATA/1187/2017 du 22 août 2017</w:t>
      </w:r>
    </w:p>
    <w:p>
      <w:r>
        <w:t>IT: GE_GERICHTE ATA/1187/2017 del 22 agosto 2017</w:t>
      </w:r>
    </w:p>
    <w:p>
      <w:pPr>
        <w:pStyle w:val="Heading2"/>
      </w:pPr>
      <w:r>
        <w:t>Erwägungen</w:t>
      </w:r>
    </w:p>
    <w:p>
      <w:r>
        <w:rPr>
          <w:b/>
        </w:rPr>
        <w:t>E. 12</w:t>
      </w:r>
    </w:p>
    <w:p>
      <w:r>
        <w:t>septembre 1985 - LPA - E 5 10). 2)</w:t>
      </w:r>
    </w:p>
    <w:p>
      <w:r>
        <w:t>Le recourant sollicite diverses mesures d'instruction liées à l’inventaire ISOS notamment.</w:t>
      </w:r>
    </w:p>
    <w:p>
      <w:r>
        <w:t>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p. 222 ; 142 III 48 consid. 4.1.1 p. 52 s. ; arrêt du Tribunal fédéral 2C_396/2016 et 2C_397/2016 du 14 novembre 2016 consid. 4.1)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p. 282 ; 132 V 368 consid. 3.1 p. 370). La garantie constitutionnelle précitée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p. 299 ; ATA/1059/2017 du 4 juillet 2017 ; ATA/659/2017 du 13 juin 2017).</w:t>
      </w:r>
    </w:p>
    <w:p>
      <w:r>
        <w:t>En l'occurrence, le dossier comprend les échanges d'écritures, les plans du projet, ainsi que les préavis des entités qui se sont déterminées sur celui-ci. Il comprend également les plans du premier projet autorisé et les préavis le concernant auquel se réfèrent les préavis du second projet. Les mesures demandées par le recourant ne sont pas susceptibles d’apporter des éléments nécessaires à trancher le litige, comme cela sera développé ci-dessous, alors que les éléments figurant au dossier sont suffisants.</w:t>
      </w:r>
    </w:p>
    <w:p>
      <w:r>
        <w:t>Par conséquent, il ne sera pas donné suite aux demandes d’autres mesures d'instruction faites par le recourant. 3)</w:t>
      </w:r>
    </w:p>
    <w:p>
      <w:r>
        <w:t>En premier lieu, le recourant fait grand cas des différences existant entre les deux projets ayant donné lieu à deux décisions préalables d’autorisation de construire. À l’appui de son argumentation, il a déposé un rapport d’un géomètre,</w:t>
      </w:r>
    </w:p>
    <w:p>
      <w:r>
        <w:t>- 11/16 - A/1747/2015 daté du 23 février 2016, mandaté par ses soins, qui y indique les différences objectives entre les deux projets autorisés.</w:t>
      </w:r>
    </w:p>
    <w:p>
      <w:r>
        <w:t>Ces différences ne sont ni contestables ni contestées par les parties mais n’ont aucun impact sur l’examen de la conformité au droit de la seconde décision, seule objet du litige dans la présente cause. D’ailleurs, le rapport du géomètre produit par le recourant indique précisément dans ses conclusions que les gabarits imposés par la loi sont respectés par les deux projets.</w:t>
      </w:r>
    </w:p>
    <w:p>
      <w:r>
        <w:t>Le grief du recourant tombe donc à faux.</w:t>
      </w:r>
    </w:p>
    <w:p>
      <w:r>
        <w:t>Les différents griefs évoqués qui semblent être plutôt relatifs à la première autorisation de construire délivrée ou à l’autorisation de démolir, dans la mesure de ce qui peut être compris des écritures du recourant, ne seront pas examinés ici. 4)</w:t>
      </w:r>
    </w:p>
    <w:p>
      <w:r>
        <w:t>Le recourant fait grief au département d’avoir délivré l’autorisation préalable de construire sans que la CMNS ne se soit prononcée sur le projet finalement autorisé.</w:t>
      </w:r>
    </w:p>
    <w:p>
      <w:r>
        <w:t>Contrairement à ce qu’allègue le recourant, le projet a été soumis formellement à la CMNS qui a rendu un préavis le 2 septembre 2014 dans lequel elle demandait une modification de projet. Elle a donc examiné le projet et s’est déterminée sur celui-ci.</w:t>
      </w:r>
    </w:p>
    <w:p>
      <w:r>
        <w:t>S’il est vrai que l’autorisation préalable a finalement été délivrée sur la base du préavis favorable émis par le SMS et non par la CMNS, ce procédé ne prête toutefois pas le flan à la critique. Il a déjà été admis par la chambre de céans qu’une nouvelle consultation formelle de la CMNS ne s’imposait pas dans les cas où le SMS pouvait constater que le projet répondait aux demandes de la CMNS telles qu’exposées dans son préavis (ATA/455/2016 du 31 mai 2016).</w:t>
      </w:r>
    </w:p>
    <w:p>
      <w:r>
        <w:t>En l’espèce, le préavis de la CMNS posait, à ce stade du projet et vu les différences entre le premier et le second projet, une unique exigence, à savoir que les constructions futures s’inscrivent dans le gabarit légal de construction et ne nécessitent pas de dérogation au sens de l’art. 106 de la loi sur les constructions et les installations diverses du 14 avril 1988 (LCI - L 5 05).</w:t>
      </w:r>
    </w:p>
    <w:p>
      <w:r>
        <w:t>Cette condition a été réalisée en l’espèce puisque le projet ne nécessitait en fait aucune dérogation. C’est uniquement en raison d’une erreur figurant dans le préavis de la DAC du 20 août 2014, qui indiquait que le projet nécessitait des dérogations au sens de l’art. 106 LCI, que la CMNS a formulé son préavis dans ce sens. Le second préavis de la DAC du 22 janvier 2015, rendu après que les plans aient été recalculés, n’indique plus que le projet nécessite des dérogations. Selon les déclarations de Mme KELLENBERGER du SMS, c’est pour cette raison que le projet n’a pas été soumis à nouveau à la CMNS (audition de Mme KELLENBERGER par le TAPI, 20 janvier 2016). Le recourant ne conteste</w:t>
      </w:r>
    </w:p>
    <w:p>
      <w:r>
        <w:t>- 12/16 - A/1747/2015 du reste pas que le projet ne nécessite aucune dérogation, le rapport du géomètre qu’il a produit le précisant.</w:t>
      </w:r>
    </w:p>
    <w:p>
      <w:r>
        <w:t>Le grief sera dès lors écarté. 5)</w:t>
      </w:r>
    </w:p>
    <w:p>
      <w:r>
        <w:t>Le recourant reproche encore au département et au TAPI d’avoir ignoré, d’une part, les aspects de protection du patrimoine liés au recensement ISOS et, d’autre part, que le projet de construction est situé en zone 4B protégée.</w:t>
      </w:r>
    </w:p>
    <w:p>
      <w:r>
        <w:t>a. Au préalable, il convient de relever que, contrairement à ce que pourrait laisser croire l’argumentation développée par le recourant, le village de Vésenaz ne figure pas dans la liste des sites d’importance nationale de l’inventaire fédéral ISOS (Annexe de l’ordonnance concernant l’Inventaire fédéral des sites construits à protéger en Suisse du 9 septembre 1981– OISOS – RS 451.12).</w:t>
      </w:r>
    </w:p>
    <w:p>
      <w:r>
        <w:t>Il découle de cette absence que les règles spécifiques que le recourant voudrait voir appliquer en l’espèce ne trouve pas application et une grande partie de son argumentation portant sur la protection des sites d’importance nationale ne sera dès lors pas examinée plus avant.</w:t>
      </w:r>
    </w:p>
    <w:p>
      <w:r>
        <w:t>b. Cela étant, à l’inventaire fédéral vient s’ajouter une liste des sites construits d’importance régionale et locale. Ces sites ont été inventoriés selon la méthode ISOS dans le cadre du premier recensement en 1976 et 1977 (ISOS, inventaire des sites construits à protéger en Suisse, République et canton de Genève, publié par le département fédéral de l’intérieur 1983/84). Une partie des sites construits d’importance régionale et locale ont alors été inscrits dans le droit cantonal, tel le village de Vésenaz, qui a été colloqué en zone 4B protégée. 6) a. Aux termes de l’art. 106 al. 1 1ère phr. LCI, dans les zones 4B protégées,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w:t>
      </w:r>
    </w:p>
    <w:p>
      <w:r>
        <w:t>Le département peut en conséquence, à titre exceptionnel, déroger aux dispositions régissant les distances entre bâtiments, les distances aux limites de propriétés et les vues droites. Lors de travaux de réfection de façades ou de toitures, la commune et la CMNS sont également consultées (art. 106 al. 1 2ème et 3ème phr. LCI).</w:t>
      </w:r>
    </w:p>
    <w:p>
      <w:r>
        <w:t>Cette disposition est spécialement applicable aux villages protégés et confère un large pouvoir d’appréciation au département compétent. Celui-ci peut fixer lui-même les règles applicables aux constructions dans le but de sauvegarder le caractère d’un village et le site environnant, et déroger aux dispositions ordinaires (arrêts du Tribunal fédéral 1C_579/2015 du 4 juillet 2016 consid. 3.2 ;</w:t>
      </w:r>
    </w:p>
    <w:p>
      <w:r>
        <w:t>- 13/16 - A/1747/2015 1C_123/2010 du 25 mai 2010 consid. 3.3 ; ATA/537/2017 du 9 mai 2017 consid. 4b).</w:t>
      </w:r>
    </w:p>
    <w:p>
      <w:r>
        <w:t>Ce large pouvoir d’appréciation et de décision implique la possibilité de refuser un projet qui, ne respectant pas ces prescriptions spéciales, porterait une atteinte excessive au caractère d’un village protégé, soit que les bâtiments existants méritent une protection particulière, soit que le projet en lui-même n’est pas satisfaisant du point de vue de l’intégration (arrêt du Tribunal fédéral 1C_579/2015 précité).</w:t>
      </w:r>
    </w:p>
    <w:p>
      <w:r>
        <w:t>b. Dans l’exercice de la compétence que lui confère l’art. 106 al. 1 LCI, le département dispose d’une grande liberté d’appréciation. Cette disposition renferme une clause d’esthétique particulière, plus précise que l’art. 15 LCI, soit une notion qui varie selon les conceptions de celui qui l’interprète et selon les circonstances de chaque cas d’espèce (ATA/537/2017 précité consid. 4c ; ATA/305/2012 du 15 mai 2012 consid. 7). Cette notion juridique indéterminée laisse donc un certain pouvoir d’appréciation à l’administration, celle-ci n’étant limitée que par l’excès ou l’abus du pouvoir d’appréciation (art. 61 al. 2 LPA ; ATA/141/2009 du 24 mars 2009 et les références citées). Un tel excès est réalisé si l’autorité administrative sort du cadre des mesures autorisées par la loi. Il y a abus lorsque l’autorité reste dans le cadre de ces mesures possibles, mais viole un principe constitutionnel, tel que l’égalité de traitement, la proportionnalité ou l’interdiction de l’arbitraire (ATA/537/2017 précité consid. 4c et les arrêts cités ; Thierry TANQUEREL, Manuel de droit administratif, 2011, p. 170 n. 512 ).</w:t>
      </w:r>
    </w:p>
    <w:p>
      <w:r>
        <w:t>c. Dans l’application de l’art. 106 LCI, le département doit recueillir notamment le préavis de la CMNS et de la commune.</w:t>
      </w:r>
    </w:p>
    <w:p>
      <w:r>
        <w:t>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(ATA/537/2017 précité consid. 4d ; ATA/956/2014 du 2 décembre 2014 consid. 6 et les références citées).</w:t>
      </w:r>
    </w:p>
    <w:p>
      <w:r>
        <w:t>La LCI ne prévoit pas de hiérarchie entre les différents préavis requis. Selon une jurisprudence constante, en cas de préavis divergents, une prééminence est reconnue à celui de la CMNS lorsque son préavis est requis par la loi, dans la mesure où cette dernière est composée de spécialistes en matière d’architecture, d’urbanisme et de conservation du patrimoine (art. 46 al. 2 de la loi sur la protection des monuments, de la nature et des sites du 4 juin 1976 - LPMNS - L 4 05 ; arrêt du Tribunal fédéral 1C_891/2013 du 20 mars 2015 consid. 8.2 ; ATA/537/2017 précité consid. 4d ; ATA/956/2014 précité et les</w:t>
      </w:r>
    </w:p>
    <w:p>
      <w:r>
        <w:t>- 14/16 - A/1747/2015 références citées ; ATA/670/2012 du 2 octobre 2012 consid. 6, confirmé par arrêt du Tribunal fédéral 1C_582/2012 consid. 5.2)</w:t>
      </w:r>
    </w:p>
    <w:p>
      <w:r>
        <w:t>d. Chaque fois que l’autorité administrative suit les préavis des instances consultatives, les juridictions de recours observent une certaine retenue, lorsqu’il s’agit de tenir compte des circonstances locales ou de trancher de pures questions d’appréciation (ATF 136 I 265 consid. 2.3 p. 270 ; 135 I 302 consid. 1.2 p. 305, in arrêt du Tribunal fédéral 1C_579/2015 précité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(arrêts du Tribunal fédéral 1C_891/2013 précité consid. 8.2 ; 1C_582/2012 précité consid. 5.2 ; ATA/246/2016 du 15 mars et les arrêts cités ; ATA/1005/2015 du 29 septembre 2015 consid. 12b et 12c et les références citées). S’agissant du TAPI, celui-ci se compose de personnes ayant des compétences spéciales en matière de construction, d’urbanisme et d’hygiène publique (art. 143 LCI). Formée pour partie de spécialistes, cette juridiction peut exercer un contrôle plus technique que la chambre administrative (ATA/537/2017 précité consid. 4e ; ATA/246/2016 du</w:t>
      </w:r>
    </w:p>
    <w:p>
      <w:r>
        <w:rPr>
          <w:b/>
        </w:rPr>
        <w:t>E. 15</w:t>
      </w:r>
    </w:p>
    <w:p>
      <w:r>
        <w:t>mars 2016 ; ATA/778/2014 du 30 septembre 2014 consid. 3c). 7)</w:t>
      </w:r>
    </w:p>
    <w:p>
      <w:r>
        <w:t>En l’espèce, le village sis en zone 4B protégé comporte un bâtiment au bénéfice d’une mesure de classement, la maison forte de Vésenaz, située au 42 à 46 chemin du Vieux-Vésenaz, loin de l’implantation prévue par le projet litigieux. Le village ne comporte aucun bâtiment bénéficiant de la protection découlant de la mise à l’inventaire au sens de l’art. 4 LPMNS. Certains bâtiments du village figurent au recensement architectural cantonal avec des valeur 3 ou 4+ ; il ne s’agit toutefois pas d’une mesure de protection légale.</w:t>
      </w:r>
    </w:p>
    <w:p>
      <w:r>
        <w:t>Dans son préavis rendu concernant le premier projet, la SCA avait relevé les qualités du site et du contexte immédiat, soit la situation entre la route de Thonon et le tissu ancien organisé le long du chemin du Vieux-Vésenaz. Elle avait également demandé des modifications du projet pour qu’une solution plus respectueuse de la morphologie dictée par le bâti existant et qui tienne compte de l’échelle et de l’orientation du tissu ancien soit privilégiée (préavis SCA du 6 septembre 2011 et inspection locale des bâtiments à démolir et des abords dans le cadre de l’autorisation M 6'598, mentionnés dans le préavis de la SCA du 2 septembre 2014 et dans celui du SMS du 9 février 2015 concernant le projet litigieux). C’est sur cette base que la CMNS s’est fondée pour exiger un projet ne nécessitant pas de dérogation aux gabarits légaux.</w:t>
      </w:r>
    </w:p>
    <w:p>
      <w:r>
        <w:t>Il apparaît dès lors que, contrairement à ce que soutient le recourant, les qualités du site dans lequel s’inscrit le projet et ses abords ont été pris en compte lors de la délivrance de l’autorisation préalable de construire après un examen minutieux de la situation. En outre, s’agissant de l’intégration dans le village, les</w:t>
      </w:r>
    </w:p>
    <w:p>
      <w:r>
        <w:t>- 15/16 - A/1747/2015 modifications apportées au projet par rapport au premier projet concernent principalement le sous-sol et n’ont donc pas d’incidence sur la hauteur du bâtiment notamment (conclusions du rapport de géomètre du 23 février 2016, produit par le recourant). Finalement, aucune mesure de protection du patrimoine n’a été omise dans l’examen fait par la CMNS ou les autres services ayant préavisé le projet.</w:t>
      </w:r>
    </w:p>
    <w:p>
      <w:r>
        <w:t>Les griefs du recourant seront donc écartés. 8)</w:t>
      </w:r>
    </w:p>
    <w:p>
      <w:r>
        <w:t>Au vu de ce qui précède, le recours sera rejeté.</w:t>
      </w:r>
    </w:p>
    <w:p>
      <w:r>
        <w:t>Un émolument de CHF 1'000.- sera mis à la charge du recourant qui succombe (art. 87 al. 1 LPA). Une indemnité de procédure de CHF 1'000.- sera allouée à Urban qui y a conclu et a recouru aux services d’un avocat,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