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ATA/1185/2015 vom 3. November 2015</w:t>
      </w:r>
    </w:p>
    <w:p>
      <w:r>
        <w:t>GE Cour de justice, 2015-11-03, FR</w:t>
      </w:r>
    </w:p>
    <w:p>
      <w:r>
        <w:rPr>
          <w:b/>
        </w:rPr>
        <w:t xml:space="preserve">Quelle: </w:t>
      </w:r>
      <w:r>
        <w:t>https://mcp.opencaselaw.ch/entscheid/ge_gerichte_ATA_1185_2015</w:t>
      </w:r>
    </w:p>
    <w:p>
      <w:r>
        <w:t>FR: GE_GERICHTE ATA/1185/2015 du 3 novembre 2015</w:t>
      </w:r>
    </w:p>
    <w:p>
      <w:r>
        <w:t>IT: GE_GERICHTE ATA/1185/2015 del 3 novembre 2015</w:t>
      </w:r>
    </w:p>
    <w:p>
      <w:pPr>
        <w:pStyle w:val="Heading2"/>
      </w:pPr>
      <w:r>
        <w:t>Erwägungen</w:t>
      </w:r>
    </w:p>
    <w:p>
      <w:r>
        <w:rPr>
          <w:b/>
        </w:rPr>
        <w:t>E. 12</w:t>
      </w:r>
    </w:p>
    <w:p>
      <w:r>
        <w:t>septembre 1985 - LPA - E 5 10).</w:t>
      </w:r>
    </w:p>
    <w:p>
      <w:r>
        <w:t>Ces questions peuvent faire l’objet d’une réclamation dans le délai de trente jours dès la notification de la décision (art. 87 al. 4 LPA).</w:t>
      </w:r>
    </w:p>
    <w:p>
      <w:r>
        <w:t>Adressée en temps utile à la chambre administrative, la réclamation est recevable. 2)</w:t>
      </w:r>
    </w:p>
    <w:p>
      <w:r>
        <w:t>L’art. 2 al. 1 du règlement sur les frais, émoluments et indemnités en procédure administrative du 30 juillet 1986 (RFPA - E 5 10.03) prévoit que, en règle générale, l’émolument d’arrêté n’excède pas CHF 10'000.-. 3)</w:t>
      </w:r>
    </w:p>
    <w:p>
      <w:r>
        <w:t>Un principe général de procédure administrative veut que les frais soient supportés par la partie qui succombe et dans la mesure où elle succombe (René RHINOW, Öffentliches Prozessrecht, 2ème éd., 2014, n. 951).</w:t>
      </w:r>
    </w:p>
    <w:p>
      <w:r>
        <w:t>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4)</w:t>
      </w:r>
    </w:p>
    <w:p>
      <w:r>
        <w:t>Le Tribunal fédéral a considéré qu'il y avait lieu de tenir compte, lors de la répartition des frais et dépens, du fait que le recourant ait vu l'un ou l'autre de ses griefs formels réparés devant le Tribunal fédéral seulement (ATF 136 II 214 consid. 4.4 et les arrêts cités). Dans certaines causes, il a néanmoins appliqué ces principes en prélevant malgré tout des frais de procédure et en allouant une indemnité réduite (ATF 126 II 111 consid. 7b). La jurisprudence précitée du Tribunal fédéral trouve écho sous l'empire de la LPA cantonale, mais seulement de manière limitée. Il convient en effet de nuancer l'influence de la réparation du droit d'être entendu selon l'instance (ATA/241/2013 du 16 avril 2013). 5)</w:t>
      </w:r>
    </w:p>
    <w:p>
      <w:r>
        <w:t>En l’espèce, il est exact que la chambre administrative a retenu que le droit d’être entendu du recourant avait été violé par l’université. Toutefois, cet argument, de nature purement formelle, n’était pas déterminant. Le recours a été rejeté dans sa totalité et la décision de l’université considérée comme étant bien-fondée. En conséquence, l’autorité n’a pas versé dans l’arbitraire en mettant à la charge de l’étudiant un émolument de CHF 400.-, conformément à sa pratique</w:t>
      </w:r>
    </w:p>
    <w:p>
      <w:r>
        <w:t>- 4/5 - A/2974/2015 habituelle en matière de décision d’exclusion de l’université et en lui refusant toute indemnité de procédure, compte tenu du résultat.</w:t>
      </w:r>
    </w:p>
    <w:p>
      <w:r>
        <w:t>Cette solution s’impose aussi à la lecture des arrêts auxquels se réfère le recourant qui traitent de situations non comparables à la présente procédure, à l’instar de la nécessité faite au Tribunal fédéral de solliciter une expertise pour réparer la violation du droit d’être entendu commise par le tribunal administratif du canton des Grisons (ATF 136 II 214, consid. 4.4, repris par l’ATA/241/2013 du 16 avril 2013 et la doctrine citée par le recourant). 6)</w:t>
      </w:r>
    </w:p>
    <w:p>
      <w:r>
        <w:t>Conformément à la pratique constante de la juridiction de céans, aucun émolument ne sera perçu dans la présente cause (ATA/7/2015 du 6 janvier 2015 ; ATA/608/2012 du 11 septembre 2012).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