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ATA/1184/2020 vom 24. November 2020</w:t>
      </w:r>
    </w:p>
    <w:p>
      <w:r>
        <w:t>GE Cour de justice, 2020-11-24, FR</w:t>
      </w:r>
    </w:p>
    <w:p>
      <w:r>
        <w:rPr>
          <w:b/>
        </w:rPr>
        <w:t xml:space="preserve">Quelle: </w:t>
      </w:r>
      <w:r>
        <w:t>https://mcp.opencaselaw.ch/entscheid/ge_gerichte_ATA_1184_2020</w:t>
      </w:r>
    </w:p>
    <w:p>
      <w:r>
        <w:t>FR: GE_GERICHTE ATA/1184/2020 du 24 novembre 2020</w:t>
      </w:r>
    </w:p>
    <w:p>
      <w:r>
        <w:t>IT: GE_GERICHTE ATA/1184/2020 del 24 novembre 2020</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litige porte sur l'imposition de la valeur locative relative à l'immeuble des intimés sis en Espagne pour l'année fiscale 2017 en matière d'ICC et d'IFD. 3) a.</w:t>
      </w:r>
    </w:p>
    <w:p>
      <w:r>
        <w:t>De jurisprudence constante, les questions de droit matériel sont résolues en fonction du droit en vigueur lors des périodes fiscales litigieuses (ATA/1100/2019 du 25 juin 2019 consid. 3b et les références citées).</w:t>
      </w:r>
    </w:p>
    <w:p>
      <w:r>
        <w:t>b. Le présent litige concernant la période fiscale 2017, la cause est ainsi régie par le droit en vigueur durant cette période, à savoir respectivement les dispositions de la LIFD, de la loi fédérale sur l'harmonisation des impôts directs des cantons et des communes du 14 décembre 1990 (LHID - RS 642.14) et celles de la loi sur l'imposition des personnes physiques du 27 septembre 2009 (LIPP - D 3 08).</w:t>
      </w:r>
    </w:p>
    <w:p>
      <w:r>
        <w:t>Par ailleurs, la question étant traitée de la même manière en droit fédéral et en droit cantonal harmonisé, le présent arrêt traite simultanément des deux impôts, comme l'admet la jurisprudence (ATA/440/2020 du 30 avril 2020 considd. 3b ; ATA/1834/2019 du 17 décembre 2019 consid. 2b et la référence citée).</w:t>
      </w:r>
    </w:p>
    <w:p>
      <w:r>
        <w:t>- 7/11 - A/3312/2018 4)</w:t>
      </w:r>
    </w:p>
    <w:p>
      <w:r>
        <w:t>Le Tribunal fédéral a précisé à titre liminaire, dans l'arrêt dans l'attente duquel la procédure a été suspendue et qui concernait la déductibilité des frais d'entretien immobiliers concernant un immeuble situé en Espagne, pays ne connaissant pas l'imposition de la valeur locative, que lorsque des immeubles situés à l'étranger font partie de la fortune privée de contribuables assujettis de manière illimitée en Suisse, comme en l'espèce, leur valeur locative n'entrait en considération que pour la détermination du taux d'imposition, l'assujettissement ne s'étendant pas au rendement positif des immeubles ou aux excédents de charges et frais d'entretien liés à ces immeubles qui ne pouvaient pas être portés en déduction lors de la détermination de l'assiette imposable en Suisse (art. 6 LIFD ; art. 5 LIPP ; arrêt du Tribunal fédéral 2C_137/2019 précité consid. 5.1 et les références citées).</w:t>
      </w:r>
    </w:p>
    <w:p>
      <w:r>
        <w:t>Le Tribunal fédéral a aussi retenu que la Convention du 26 avril 1966 entre la Suisse et l'Espagne en vue d'éviter les doubles impositions en matière d'impôts sur le revenu et sur la fortune (CDI CH-ESP - RS 0.672.933.21) ne s'opposait pas à ces principes. 5)</w:t>
      </w:r>
    </w:p>
    <w:p>
      <w:r>
        <w:t>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w:t>
      </w:r>
    </w:p>
    <w:p>
      <w:r>
        <w:t>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Yves NOËL in Danielle YERSIN/Yves NOËL [éd.], Impôt fédéral direct, Commentaire de la LIFD, 2ème éd., 2017, n. 55 ad art. 16 LIFD). 6)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w:t>
      </w:r>
    </w:p>
    <w:p>
      <w:r>
        <w:t>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- 8/11 - A/3312/2018</w:t>
      </w:r>
    </w:p>
    <w:p>
      <w:r>
        <w:t>Sur cette base, le législateur cantonal a édicté l'art. 24 al. 1 let. b LIPP, lequel est d'une teneur similaire à celle de l'art. 21 al. 1 let. b LIFD.</w:t>
      </w:r>
    </w:p>
    <w:p>
      <w:r>
        <w:t>c. La notion de valeur locative est définie à l'art. 24 al. 2 LIPP, entré en vigueur avec la LIPP le 1er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7)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ATA/287/2020 du 10 mars 2020 consid. 5 et la référence citée). En matière de détermination de la valeur locative, l'objectif poursuivi par l'adoption de circulaires est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sous peine de violer le principe de l'égalité de traitement (Nicolas MERLINO in Yves NOËL/Florence AUBRY GIRARDIN, op. cit., n. 109 ad art. 21 LIFD).</w:t>
      </w:r>
    </w:p>
    <w:p>
      <w:r>
        <w:t>b. Dans les décisions de l'AFC-GE, la valeur locative est fixée sur la base de la circulaire de l'administration fédérale des contributions (ci-après : AFC-CH) du 25 mars 1969 concernant la détermination du rendement locatif imposable des maisons d'habitation et ses directives pour déterminer la valeur locative des maisons d'habitation occupées par leur propriétaire (archives 38 p. 121aa ; ci-après : circulaire de 1969), qui prévoit pour les cas dits spéciaux, telles les</w:t>
      </w:r>
    </w:p>
    <w:p>
      <w:r>
        <w:t>- 9/11 - A/3312/2018 maisons de vacances, qu'une valeur locative annuelle entière doit être prise en considération quelle que soit la durée de leur occupation effective, si le propriétaire peut en disposer en tout temps et si l'immeuble est utilisable toute l'année.</w:t>
      </w:r>
    </w:p>
    <w:p>
      <w:r>
        <w:t>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w:t>
      </w:r>
    </w:p>
    <w:p>
      <w:r>
        <w:t>La pratique de l'AFC-GE fait application de l'information 1991, qui prévoit que la valeur locative correspond à 4,5 % de la valeur fiscale du bien (villa ou appartement). Pour l'ICC, ce taux est en outre appliqué après un abattement, qui est en l'espèce de 4 % s'agissant d'un immeuble sis en Espagne.</w:t>
      </w:r>
    </w:p>
    <w:p>
      <w:r>
        <w:t>c. Le Tribunal fédéral, examinant l'application de ces directives et de la conformité de la méthode forfaitaire de calcul de la valeur locative, a retenu que la méthode de calcul de l'AFC-GE, pour les immeubles situés dans des pays qui ne connaissent pas l'imposition de la valeur locative, n'apparaissait pas contraire à l'art. 21 al. 2 LIFD (arrêts du Tribunal fédéral 2C_137/2019 précité consid. 6.2 ; 2C_829 et 830/2016 du 10 mai 2017 consid. 6). 8)</w:t>
      </w:r>
    </w:p>
    <w:p>
      <w:r>
        <w:t>En l'espèce, le TAPI a retenu que le seul fait, pour l'Espagne, de déterminer celle-ci sur la base de critères différents de ceux du droit suisse ne justifiait pas l'application de l'information 1991 et du taux de 4,5 % qu'elle prévoyait, la fixation de la valeur locative relevant de la souveraineté d’un État.</w:t>
      </w:r>
    </w:p>
    <w:p>
      <w:r>
        <w:t>Le Tribunal fédéral a toutefois considéré que l'Espagne était un pays n'imposant pas la valeur locative (arrêt du Tribunal fédéral 2C_137/2019 précité consid. 5). Par ailleurs et comme cela vient d’être évoqué, l’application de la directive 1991 aux biens immobiliers sis dans un pays n’imposant pas la valeur locative n’est pas contraire au droit. Partant, l’AFC-GE état fondée à appliquer l'information 1991 au bien immobilier des intimés sis en Espagne et à fixer la valeur locative à 4,5 % de la valeur fiscale de l'immeuble.</w:t>
      </w:r>
    </w:p>
    <w:p>
      <w:r>
        <w:t>Le recours sera ainsi admis, le jugement entrepris annulé et les décisions rendues sur réclamation le 27 août 2018 seront rétablies. 9)</w:t>
      </w:r>
    </w:p>
    <w:p>
      <w:r>
        <w:t>Vu l'issue du litige, un émolument de CHF 1'000.- sera mis à la charge des intimés, qui succombent (art. 87 al. 1 LPA). Aucune indemnité de procédure ne sera allouée, l'autorité ayant recouru dans son propre intérêt (art. 87 al. 2 LPA).</w:t>
      </w:r>
    </w:p>
    <w:p>
      <w:r>
        <w:t>- 10/11 - A/3312/2018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