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ATA/1183/2023 vom 31. Oktober 2023</w:t>
      </w:r>
    </w:p>
    <w:p>
      <w:r>
        <w:t>GE Cour de justice, 2023-10-31, FR</w:t>
      </w:r>
    </w:p>
    <w:p>
      <w:r>
        <w:rPr>
          <w:b/>
        </w:rPr>
        <w:t xml:space="preserve">Quelle: </w:t>
      </w:r>
      <w:r>
        <w:t>https://mcp.opencaselaw.ch/entscheid/ge_gerichte_ATA_1183_2023</w:t>
      </w:r>
    </w:p>
    <w:p>
      <w:r>
        <w:t>FR: GE_GERICHTE ATA/1183/2023 du 31 octobre 2023</w:t>
      </w:r>
    </w:p>
    <w:p>
      <w:r>
        <w:t>IT: GE_GERICHTE ATA/1183/2023 del 31 ottobre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recourant conclut à titre préalable à la jonction de cette procédure avec les causes concernant les exercices fiscaux subséquents. 2.1 L’autorité peut, d’office ou sur requête, joindre en une même procédure des affaires qui se rapportent à une situation identique ou à une cause juridique commune (art. 70 al. 1 LPA). La jonction n’est toutefois pas ordonnée si la première procédure est en état d’être jugée alors que la ou les autres viennent d’être introduites (art. 70 al. 2 LPA). 2.2 En l’occurrence, par jugements du 16 octobre 2023, le TAPI a rejeté les recours formés par le recourant contre les décisions de l’autorité fiscale s’agissant des exercices 2013 à 2020. Dans la mesure où ces jugements n’ont pas encore été contestés devant la chambre de céans, aucune jonction ne peut, en l’état, être opérée. S’ajoute à cela que la présente cause a été gardée à juger. Ainsi, même si</w:t>
      </w:r>
    </w:p>
    <w:p>
      <w:r>
        <w:t>- 12/26 - A/4435/2022 les procédures en question étaient introduites devant la chambre de céans, il n’y aurait pas lieu de les joindre à la présente procédure. 3. Il convient dans un premier temps de délimiter l’objet du litige. 3.1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ATA/499/2021 du 11 mai 2021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(ATA/330/2023 du 28 mars 2023 consid. 3a ; ATA/499/2021 du 11 mai 2021 consid. 2a). 3.2 En l’espèce, le recourant ne conteste plus les reprises liées au véhicule professionnel, ni celles liées au bien immobilier sis à Morillon, en France. Il ne revendique plus non plus de charges de famille. Le litige porte ainsi uniquement sur le bien-fondé des reprises effectuées sur le chiffre d’affaires réalisé par son entreprise pour les années 2008 à 2012, à l’admissibilité de la déduction de provisions pour les cotisations AVS en relation avec les revenus repris en matière d’ICC et IFD, ainsi que les amendes infligées pour la soustraction des ICC et IFD 2012. 4. Se pose la question de la prescription. 4.1 En l'absence d'une réglementation expresse contraire, le droit applicable à la taxation est celui en vigueur pendant la période fiscale en cause. Le rappel d'impôt relevant du droit matériel, le droit applicable obéit aux mêmes règles (arrêts du Tribunal fédéral 9C_715/2022 du 19 juillet 2023 consid. 5 ; 2C_700/2022 du 25 novembre 2022 consid. 4.1 et la référence). En revanche, en ce qui concerne la poursuite pénale pour soustraction fiscale (consommée ou tentée), le nouveau droit, entré en vigueur le 1er janvier 2017 (RO 2015 779 ; FF 2012 2649), s'applique au jugement des infractions commises au cours de périodes fiscales précédant son entrée en vigueur s'il est plus favorable que le droit en vigueur au cours de ces périodes fiscales (principe de la lex mitior ; art. 205f de la loi fédérale sur l’impôt fédéral direct du 14 décembre 1990 [LIFD - RS 642.11] et 78f de la loi fédérale sur l’harmonisation des impôts directs des cantons et des communes du 14 décembre 1990 [LHID - RS 642.14 ]).</w:t>
      </w:r>
    </w:p>
    <w:p>
      <w:r>
        <w:t>- 13/26 - A/4435/2022 4.1.1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cf. ATF 140 I 68 consid. 6.1). Les art. 61 al. 1 et 3 de la loi de procédure fiscale du 4 octobre 2001 (LPFisc - D 3 17) et 53 al. 2 et 3 LHID posent les mêmes principes. La problématique peut donc être examinée conjointement pour l'IFD et les ICC. 4.1.2 Avant le 1er janvier 2017, la poursuite pénale de soustraction d'impôt consommée se prescrivait par dix ans à compter de la fin de la période fiscale pour laquelle la taxation n’a pas été effectuée ou l’a été de façon incomplète (art. 184 al. 1 let. b aLIFD). La prescription était en outre interrompue par tout acte de procédure tendant à la poursuite du contribuable (art. 184 al. 2 aLIFD). Depuis le 1er janvier 2017, le délai de prescription est de dix ans et il ne court plus si une décision a été rendue par l'autorité cantonale compétente avant l'échéance dudit délai (art. 184 al. 1 let. b et al. 2 LIFD). L'art. 58 al. 1 et 3 LHID, en vigueur depuis le 1er janvier 2017, a un contenu identique à celui de l'art. 184 LIFD. Il a été repris en droit cantonal à l’art. 77 LPFisc, selon lequel la poursuite pénale pour soustraction d’impôt consommée se prescrit donc par dix ans à compter de la fin de la période fiscale pour laquelle la taxation n’a pas été effectuée ou l’a été de façon incomplète (art. 77 al. 1 let. b LPFisc). La prescription ne court plus si une décision a été rendue par l’autorité compétente (art. 75) avant l’échéance du délai de prescription (art. 77 al. 2 LPFisc). 4.2 En l’occurrence, un avis d’ouverture de la procédure de rappel d’impôt a été notifié au recourant le 7 juillet 2017 pour l’IFD et les ICC des périodes fiscales 2007 à 2012. Le délai de prescription de dix ans des art. 152 al. 1 LIFD, 53 al. 2 LHID et 61 al. 1 LPFisc a ainsi été respecté. S’agissant du délai de quinze ans, la péremption du droit de procéder aux rappels d’impôts pour l’année 2007 est survenue à la fin de la période fiscale 2022. S’agissant des périodes 2008 à 2012, le délai de péremption de quinze ans n’est pas encore atteint. En ce qui concerne la soustraction d’impôts, l’autorité fiscale a rendu le 26 janvier 2022 un bordereau d’amende IFD et ICC pour l’année 2012, soit moins de dix ans avant la fin de cette année fiscale. En application du nouveau droit, qui prévoit que la prescription ne court plus si une décision a été rendue par l'autorité cantonale compétente avant l'échéance du délai de prescription de dix ans à compter de la fin de la période fiscale, la poursuite pénale n'est pas prescrite. Il en va de même en application de l'ancien droit, qui prévoyait un délai absolu de quinze ans à compter de la fin de la période fiscale pour laquelle la taxation n'avait pas été effectuée.</w:t>
      </w:r>
    </w:p>
    <w:p>
      <w:r>
        <w:t>- 14/26 - A/4435/2022</w:t>
      </w:r>
    </w:p>
    <w:p>
      <w:r>
        <w:rPr>
          <w:b/>
        </w:rPr>
        <w:t>E. 5</w:t>
      </w:r>
    </w:p>
    <w:p>
      <w:r>
        <w:t>Le recourant conteste que les montants crédités sur ses comptes bancaires et postaux, qui ont été repris par l’autorité intimée, constituent des éléments de son revenu imposable.</w:t>
      </w:r>
    </w:p>
    <w:p>
      <w:r>
        <w:rPr>
          <w:b/>
        </w:rPr>
        <w:t>E. 5.1</w:t>
      </w:r>
    </w:p>
    <w:p>
      <w:r>
        <w:t>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Dans la LIFD, les revenus exonérés sont les gains en capitaux privés (art. 16 al. 3 LIFD) et les revenus énumérés dans la liste exhaustive figurant à l'art. 24 LIFD (ATF 143 II 402 consid. 5.1). Dans un système caractérisé par une imposition générale des revenus, ces exceptions à l'imposition doivent être interprétées de manière restrictive (ATF 146 II 6 consid. 4.1 ; 143 II 402 consid. 5.3. et les références). L'art. 18 al. 1 LIFD dispose en particulier que sont imposables tous les revenus provenant de l'exploitation d'une entreprise commerciale, industrielle, artisanale, agricole ou sylvicole, de l'exercice d'une profession libérale ou de toute autre activité lucrative indépendante. Constituent notamment de tels revenus, tous les bénéfices en capital provenant de l'aliénation, de la réalisation ou de la réévaluation comptable d'éléments de la fortune commerciale (art. 18 al. 2 LIFD). L’art. 58 s’applique par analogie aux contribuables qui tiennent une comptabilité en bonne et due forme (al. 3).</w:t>
      </w:r>
    </w:p>
    <w:p>
      <w:r>
        <w:rPr>
          <w:b/>
        </w:rPr>
        <w:t>E. 5.2</w:t>
      </w:r>
    </w:p>
    <w:p>
      <w:r>
        <w:t>Selon l’art. 130 LIFD, l’autorité de taxation contrôle la déclaration d’impôt et procède aux investigations nécessaires (al. 1). Elle effectue la taxation d’office sur la base d’une appréciation consciencieuse si, malgré sommation, le contribuable n’a pas satisfait à ses obligations de procédure ou que les éléments imposables ne peuvent être déterminés avec toute la précision voulue en l’absence de données suffisantes. Elle peut prendre en considération les coefficients expérimentaux, l’évolution de fortune et le train de vie du contribuable (al. 2). Le recours à des coefficients expérimentaux, la prise en compte de l’évolution de fortune et le train de vie du contribuable ne sont pas limités à la procédure de taxation d’office ; ces moyens sont également ouverts à l’autorité dans le cadre d’une taxation ordinaire (Isabelle ALTHAUS-HOURIET, in Yves NOËL/Florence AUBRY GIRARDIN, Commentaire de la loi sur l’impôt fédéral direct, 2e éd., Bâle 2017, n. 27 ad art. 130 LIFD).</w:t>
      </w:r>
    </w:p>
    <w:p>
      <w:r>
        <w:rPr>
          <w:b/>
        </w:rPr>
        <w:t>E. 5.3</w:t>
      </w:r>
    </w:p>
    <w:p>
      <w:r>
        <w:t>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w:t>
      </w:r>
    </w:p>
    <w:p>
      <w:r>
        <w:t>- 15/26 - A/4435/2022 de l'échec de cette preuve, ces règles s'appliquant également à la procédure devant les autorités de recours (ATF 133 II 153 consid. 4.3 ; arrêt du Tribunal fédéral 2C_89/2014 du 26 novembre 2014 consid. 7.2 ; ATA/1197/2018 du</w:t>
      </w:r>
    </w:p>
    <w:p>
      <w:r>
        <w:rPr>
          <w:b/>
        </w:rPr>
        <w:t>E. 5.4</w:t>
      </w:r>
    </w:p>
    <w:p>
      <w:r>
        <w:t>En l’espèce, pour calculer le revenu imposable des périodes fiscales 2008 à 2012, l’autorité de taxation a déterminé le chiffre d’affaires en comptabilisant l’ensemble des crédits figurant sur les relevés bancaires et postaux non déclarés du contribuable et en déduisant du total ainsi obtenu le chiffre d’affaires initialement déclaré. Les montants des reprises correspondent à la différence entre ces moments. Devant la chambre de céans, le recourant conteste la méthodologie employée par l’autorité de taxation, faisant valoir qu’elle aurait dû recourir à la méthode des chiffres d’expérience ou coefficients expérimentaux. Il perd toutefois de vue que les comptes bancaires et postaux produits en cours de procédure font état de versements non déclarés à hauteur de CHF 1'200'269.- en 2008, CHF 901'657.- en 2009, CHF 957'438.- en 2010, CHF 1'025'342.- en 2011 et CHF 1'013'272.- en 2012. Ces montants sont venus accroître son patrimoine et représentaient de ce fait a priori des revenus imposables. Ainsi, dans la mesure où l’autorité intimée disposait d’éléments concrets indiquant une augmentation de revenus du contribuable, il n’était pas nécessaire de procéder à une taxation par appréciation. Les montants figurant sur les comptes bancaires justifiaient, à eux seuls, la reprise et l’imposition sur la totalité de ces sommes, à moins que le caractère non imposable des montants en cause ne soit démontré. La charge de cette contre- preuve revenait toutefois au contribuable, selon les principes précités. Pour démontrer que les montants crédités ne devaient pas être pris en compte à titre de chiffre d’affaires, le recourant a fourni, devant le TAPI, un tableau récapitulant les montants retenus à tort par l’AFC-GE (pièce 35 recourant). Ainsi,</w:t>
      </w:r>
    </w:p>
    <w:p>
      <w:r>
        <w:t>- 16/26 - A/4435/2022 pour les années 2008 à 2012, un montant total de CHF 171'867.50 (soit CHF 10'244.05 pour 2008 ; CHF 11'293.55 pour 2009 ; CHF 109'432.40 pour 2010 ; CHF 26'394.55 pour 2011 et CHF 14'502.95 pour 2012), correspondant à des transactions provenant d’institutions d’assurance et de caisses de compensation (GGE et AVS), devait être déduit des montants retenus à titre de chiffre d’affaires sur la base des relevés bancaires et postaux. Devant le TAPI, l’intimée a admis que le recourant avait réussi à démontrer que ces montants ne constituaient pas des revenus provenant de son activité lucrative indépendante. Elle a ainsi proposé de déduire ces montants de la totalité des crédits non déclarés figurant sur les comptes UBS, Postfinance, Crédit Suisse et Crédit agricole. Seul faisait exception le montant de CHF 42'069.70 correspondant à la vente de titres pour l’année 2010, qui n’avait jamais été pris en compte dans le chiffre d’affaires de l’entreprise et qui n’avait, ainsi, pas donné lieu à une reprise. Il en résultait ainsi des reprises à hauteur de CHF 368'306.- pour 2008, CHF 33'491.- pour 2009, CHF 57'926.- pour 2010, CHF 83'174.- pour 2011 et CHF 75'994.- pour 2012 (pièce 25a intimée). Il convient ainsi de confirmer le montant de ces reprises, lesquelles correspondent aux pièces produites par le recourant. C’est le lieu de préciser, s’agissant du montant de CHF 42'069.70 correspondant à la vente de titres, que le recourant ne conteste pas spécifiquement cette reprise. Or, s’il était d’avis que ce gain ne constituait pas un revenu provenant d’une activité lucrative indépendante, il lui appartenait de prouver cette allégation, conformément au principe qui veut que le contribuable prouve les faits qui ont pour effet de diminuer la dette fiscale. Il appert ainsi que les reprises sont uniquement composées de montants dont le contribuable n’a pas pu démontrer qu’il ne s’agissait pas d’un revenu. Devant la chambre de céans, le recourant n’a produit aucune autre pièce pour compléter le tableau déjà produit en pièce 35. Or, s’il était d’avis que d’autres montants ne constituaient pas un revenu provenant d’une activité lucrative indépendante, il lui appartenait, comme déjà dit, de prouver cette allégation. Il convient dès lors de donner acte à l’AFC-GE de ce qu’elle s’est engagée à ramener les reprises litigieuses à CHF 368'306.- pour 2008, CHF 33'491.- pour 2009, CHF 57'926.- pour 2010, CHF 83'174.- pour 2011 et CHF 75'994.- pour 2012.</w:t>
      </w:r>
    </w:p>
    <w:p>
      <w:r>
        <w:rPr>
          <w:b/>
        </w:rPr>
        <w:t>E. 6</w:t>
      </w:r>
    </w:p>
    <w:p>
      <w:r>
        <w:t>Le recourant reproche ensuite à l’autorité précédente de n’avoir pas porté en déduction les charges complémentaires relatives aux cotisations d’assurances sociales. Il estime que l’autorité de taxation aurait dû prendre en considération une provision pour cotisations AVS.</w:t>
      </w:r>
    </w:p>
    <w:p>
      <w:r>
        <w:rPr>
          <w:b/>
        </w:rPr>
        <w:t>E. 6.1</w:t>
      </w:r>
    </w:p>
    <w:p>
      <w:r>
        <w:t>Sont déduits du revenu imposable des personnes physiques les primes, cotisations et montants légaux, statutaires ou réglementaires versés à</w:t>
      </w:r>
    </w:p>
    <w:p>
      <w:r>
        <w:t>- 17/26 - A/4435/2022 l'assurance-vieillesse et survivants, à l'assurance-invalidité et à des institutions de la prévoyance professionnelle (art. 33 al. 1 let. d LIFD).</w:t>
      </w:r>
    </w:p>
    <w:p>
      <w:r>
        <w:rPr>
          <w:b/>
        </w:rPr>
        <w:t>E. 6.2</w:t>
      </w:r>
    </w:p>
    <w:p>
      <w:r>
        <w:t>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L'art. 125 al. 2 LIFD ne précise pas les exigences auxquelles doivent répondre ces états et relevés, qui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 du Tribunal fédéral 2A.128/2007 du 14 mars 2008, in RF 63/2008, 630, consid. 5.2 et les références citées).</w:t>
      </w:r>
    </w:p>
    <w:p>
      <w:r>
        <w:rPr>
          <w:b/>
        </w:rPr>
        <w:t>E. 6.3</w:t>
      </w:r>
    </w:p>
    <w:p>
      <w:r>
        <w:t>À teneur de l'art. 960e al. 1 de la loi fédérale du 30 mars 1911, complétant le Code civil suisse (CO, Code des obligations - RS 220),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En outre, son alinéa 3 précise que des provisions peuvent être constituées notamment au titre de charges régulières découlant des obligations de garantie (ch. 1), de remise en état des immobilisations corporelles (ch. 2), de restructurations (ch. 3) et de mesures prises pour assurer la prospérité de l'entreprise à long terme (ch. 4). Il ressort de la formulation de l'art. 960e al. 2 et 3 CO (« il y a lieu » en opposition à « peuvent ») que les provisions relevant de l'al. 2 sont requises par le droit commercial, contrairement à celles mentionnées à l'alinéa 3 (Markus REICH/Marina ZÜGER/Philipp BETSCHART, Kommentar zum Bundesgesetz über die direkte Bundessteuer [DBG], 4e éd. 2022, n° 1 ad art. 29 LIFD et les références).</w:t>
      </w:r>
    </w:p>
    <w:p>
      <w:r>
        <w:rPr>
          <w:b/>
        </w:rPr>
        <w:t>E. 6.4</w:t>
      </w:r>
    </w:p>
    <w:p>
      <w:r>
        <w:t>Aux termes de l'art. 29 al. 1 let. a LIFD,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(ATF 141 II 83 consid. 5.1).</w:t>
      </w:r>
    </w:p>
    <w:p>
      <w:r>
        <w:t>- 18/26 - A/4435/2022 Les cotisations sociales, dont le paiement repose sur la loi, peuvent être rangées dans la catégorie des provisions (R. DANON, op. cit., 2e éd. 2017, n. 22 ad art. 63 LIFD et les références citées).</w:t>
      </w:r>
    </w:p>
    <w:p>
      <w:r>
        <w:rPr>
          <w:b/>
        </w:rPr>
        <w:t>E. 6.5</w:t>
      </w:r>
    </w:p>
    <w:p>
      <w:r>
        <w:t>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 néanmoins intervenir si cette absence de comptabilisation viole une norme du droit commercial impérative sous l'angle du droit fiscal, comme l'art. 960e al. 2 CO. Une telle correction du bilan (« Bilanzberichtigung ») ne peut toutefois être admise qu'à titre exceptionnel. Le Tribunal fédéral a par ailleurs récemment souligné qu'une correction du bilan ne pouvait pas intervenir pour compenser une omission comptable imputable au contribuable (arrêt du Tribunal fédéral 2C_784/2017 du 8 mars 2018 consid. 7.3 ; cf. aussi arrêt du Tribunal fédéral 2C_29/2012 du 16 août 2012 consid. 2.1, in RF 67/2012 p. 756, où le Tribunal fédéral a jugé qu'il fallait faire preuve de la plus grande retenue lorsque des corrections de bilan ont un but fiscal). Il a en revanche admis qu'il fallait corriger une provision pour impôt qui avait bien été comptabilisée, mais qui était devenue insuffisante en raison d'une reprise effectuée dans le bénéfice imposable (ATF 141 II 83 consid. 5.5 ; cf. aussi arrêt du Tribunal fédéral 2C_662/2014 du 25 avril 2015 consid. 6.5, in RDAF 2015 II 267).</w:t>
      </w:r>
    </w:p>
    <w:p>
      <w:r>
        <w:rPr>
          <w:b/>
        </w:rPr>
        <w:t>E. 6.6</w:t>
      </w:r>
    </w:p>
    <w:p>
      <w:r>
        <w:t>Les cotisations AVS se calculent sur la base du revenu découlant du résultat de l'exercice commercial clos au cours de l'année de cotisation et du capital propre investi dans l'entreprise à la fin de l'exercice commercial (art. 22 al. 2 du règlement fédéral du 31 octobre 1947 sur l'assurance-vieillesse et survivants RAVS – RS 831.101). Pour établir le revenu déterminant, les autorités fiscales cantonales se fondent sur la taxation passée en force de l'impôt fédéral direct (art. 23 al. 1 RAVS). Les cotisations définitives ne peuvent donc être déterminées, au plus tôt, que l'année suivant celle en cause. Pendant l'année de cotisation, les personnes tenues de payer des cotisations doivent verser périodiquement des acomptes de cotisations (art. 24 al. 1 RAVS). Qu'elles soient considérées comme privées ou commerciales, les cotisations sociales d'un indépendant peuvent faire l'objet d'une provision si le contribuable tient une comptabilité en partie double. Le contribuable peut également choisir une méthode plus simple et enregistrer les cotisations, soit à la date de la facture (des acomptes et des décisions définitives), soit à celle du paiement, même si cela ne coïncide pas avec l'année pour laquelle les cotisations sont dues. Lorsque le contribuable a choisi une des méthodes admises, il doit s'y tenir (cf. ATF 141 II 83 consid. 5.2 ; arrêts du Tribunal fédéral 2C_734/2010 du 2 février 2011 consid. 2.1 ; 2A.128/2007 du 14 mars 2008, in RF 63/2008, 630, consid. 5.4 et les références citées).</w:t>
      </w:r>
    </w:p>
    <w:p>
      <w:r>
        <w:t>- 19/26 - A/4435/2022</w:t>
      </w:r>
    </w:p>
    <w:p>
      <w:r>
        <w:rPr>
          <w:b/>
        </w:rPr>
        <w:t>E. 6.7</w:t>
      </w:r>
    </w:p>
    <w:p>
      <w:r>
        <w:t>Dans un arrêt récent 2C_487/2022 du 5 septembre 2023, concernant un agriculteur exploitant des parcelles à titre d’indépendant, le Tribunal fédéral a estimé que quand bien même le recourant ne provisionnait pas ses cotisations AVS dans sa comptabilité, il tenait une comptabilité en partie double, de sorte que la création de provisions dans sa comptabilité pour ses cotisations AVS était possible. À la suite des reprises effectuées s’agissant des revenus du contribuable en lien avec la vente des parcelles, le refus d’admettre au plan fiscal une provision initialement non comptabilisée pour les cotisations AVS de l’année 2017 violait l’art. 960e al. 2 CO, disposition comptable impérative sous l’angle du droit fiscal. L'augmentation très importante du montant dû à titre de cotisations AVS pour l'année 2017, par rapport aux précédents exercices, impliquait qu'une provision soit établie à ce titre dans la comptabilité du contribuable. En outre, le contribuable n’avait pas intégré une telle provision dans sa comptabilité sans faute de sa part, car il ne pouvait pas savoir que les autorités fiscales allaient reprendre le montant des ventes de ses terrains dans son revenu, celui-ci ayant déjà été taxé sous l'angle de l'impôt sur les gains immobiliers. Dans ces circonstances particulières, il convenait de retenir que la correction, sous l'angle fiscal, de la comptabilité du contribuable, en ce sens que les cotisations AVS pour l'année 2017 calculées sur la base du revenu du contribuable comprenant la vente des parcelles étaient provisionnées pour cet exercice, était justifiée afin que la taxation corresponde le plus possible à la situation financière réelle du contribuable (consid. 4.7).</w:t>
      </w:r>
    </w:p>
    <w:p>
      <w:r>
        <w:rPr>
          <w:b/>
        </w:rPr>
        <w:t>E. 6.8</w:t>
      </w:r>
    </w:p>
    <w:p>
      <w:r>
        <w:t>En l’occurrence, l’autorité intimée a relevé que le recourant avait opté pour la méthode de l’encaissement, en ce sens que les cotisations étaient enregistrées à la date de leur paiement. Devant la chambre de céans, le recourant ne conteste pas cet élément, qui résulte au demeurant des pièces au dossier et de ses explications lors de l’audience de comparution personnelle. Les cotisations AVS étaient donc enregistrées à une date qui ne coïncidait pas avec l’année pour laquelle elles étaient dues. Ainsi, en application des principes précités, c’est le moment du règlement des factures par l’indépendant qui est déterminant, étant rappelé que lorsque le contribuable choisit une des méthodes admises, il doit s’y tenir. Contrairement à la situation ayant donné lieu à l’arrêt 2C_487/2022 précité, le recourant ne tenait pas une comptabilité en partie double, de sorte que la création de provisions dans sa comptabilité pour ses cotisations AVS n’était pas possible. On ne saurait d’ailleurs admettre que c’est sans faute de sa part que le recourant n’a pas intégré une telle provision dans sa comptabilité. C’est le lieu de rappeler que les rappels d’impôts font suite à une communication de l’AFC-CH, selon laquelle le recourant n’avait pas déclaré un certain nombre de comptes bancaires et postaux. L’instruction a ensuite révélé que des montants importants – au total près de CHF 600'000.- pour les années 2008 à 2012 – crédités sur des comptes bancaires à son nom, n’avaient jamais été déclarés aux autorités fiscales. C’est partant à juste titre que le TAPI a considéré que le paiement des cotisations n’était déductible que dans l’année de leur versement effectif. Pour le reste, le recourant</w:t>
      </w:r>
    </w:p>
    <w:p>
      <w:r>
        <w:t>- 20/26 - A/4435/2022 n’a produit aucune pièce permettant de justifier la prise en compte de charges supplémentaires durant la période litigieuse. Le recours doit en conséquence être rejeté sur ce point.</w:t>
      </w:r>
    </w:p>
    <w:p>
      <w:r>
        <w:rPr>
          <w:b/>
        </w:rPr>
        <w:t>E. 7</w:t>
      </w:r>
    </w:p>
    <w:p>
      <w:r>
        <w:t>Le recourant conteste le bien-fondé des amendes infligées par l’autorité intimée pour soustraction d’impôts concernant l’année fiscale 2012.</w:t>
      </w:r>
    </w:p>
    <w:p>
      <w:r>
        <w:rPr>
          <w:b/>
        </w:rPr>
        <w:t>E. 7.1</w:t>
      </w:r>
    </w:p>
    <w:p>
      <w:r>
        <w:t>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(LHID - RS 642.14) ; art. 69 al. 1 LPFisc). 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consid. 13b et la référence). 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rPr>
          <w:b/>
        </w:rPr>
        <w:t>E. 7.2</w:t>
      </w:r>
    </w:p>
    <w:p>
      <w:r>
        <w:t>La soustraction est punissable aussi bien intentionnellement que par négligence. La notion de négligence des art. 175 LIFD et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 ATA/407/2022 du 12 avril 2022 consid. 6 a).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w:t>
      </w:r>
    </w:p>
    <w:p>
      <w:r>
        <w:t>- 21/26 - A/4435/2022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sa situation personnelle, ce par quoi l'on entend sa formation, ses capacités intellectuelles et son expérience professionnelle (arrêts du Tribunal fédéral 2C_1052/2019 précité consid. 3.7.1 ; 2C_1066/2018 précité consid. 4.1 ; 2C_1018/2015 précité consid. 9.4.4). Lorsqu'il mandate une fiduciaire pour remplir sa déclaration d'impôts,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(arrêts du Tribunal fédéral 2C_814/2017 du 17 septembre 2018 consid. 9.4 ; 2C_908/2011 du 23 avril 2012 consid. 3.5 et les références, in RDAF 2012 II 324). Lorsqu'un contribuable signe sa déclaration fiscale, conformément à l'art. 124 al. 2 LIFD, il endosse la responsabilité de la véracité des indications qui s'y trouvent ; il répond ainsi lui-même des infractions fiscales commises si une faute lui est imputable. Il ne faut pas que le contribuable qui se fait représenter soit favorisé par rapport au contribuable qui remplit sa déclaration fiscale lui- 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(arrêts du Tribunal fédéral 2C_78/2019 du 20 septembre 2019 consid. 3 et les références, in RF 75/2020 p. 71). Lorsque le contribuable qui ne dispose pas de connaissances fiscales particulières choisit un mandataire compétent et lui communique tous les documents et renseignements nécessaires à l’établissement d’une déclaration conforme à la vérité, on ne peut raisonnablement pas lui reprocher de signer sa déclaration sans</w:t>
      </w:r>
    </w:p>
    <w:p>
      <w:r>
        <w:t>- 22/26 - A/4435/2022 la contrôler dans les moindres détails. Il y aurait plutôt lieu de déterminer si le contribuable a transmis des documents incomplets à son mandataire, s’il l’a correctement instruit ou s’il s’est entendu avec lui pour commettre l’infraction fiscale (ATA/1262/2015 précité consid. 7c ; ATA/370/2015 précité consid. 6c ; ATA/798/2014 du 14 octobre 2014 et les références citées).</w:t>
      </w:r>
    </w:p>
    <w:p>
      <w:r>
        <w:rPr>
          <w:b/>
        </w:rPr>
        <w:t>E. 7.3</w:t>
      </w:r>
    </w:p>
    <w:p>
      <w:r>
        <w:t>En l’espèce, le recourant ne conteste pas que les éléments objectifs de la soustraction fiscale, soit l’existence de déclarations d’impôts irrégulières, étaient remplis, mais invoque son absence de compétences et de connaissances en matière comptable et fiscale. Il s’en était remis au professionnel qu’il avait mandaté pour s’occuper du volet administratif de son entreprise. Il avait d’ailleurs changé de mandataire en 2014, après avoir constaté que sa comptabilité n’était pas effectuée de manière correcte. Or, même sans être au bénéfice d’une formation particulière en fiscalité, il convient de retenir que le recourant, de par son activité professionnelle à titre d’indépendant, disposait des capacités suffisantes pour se rendre compte des conséquences de l’absence d’enregistrement de certaines recettes dans les comptes de son entreprise. Il ne pouvait ignorer que plusieurs comptes bancaires et biens immobiliers, de même que son coffre-fort, ne figuraient pas dans ses déclarations fiscales, étant rappelé que l’instruction menée par l’autorité intimée a permis d’établir que des revenus de plus de CHF 600'000.- n’avaient pas été déclarés aux autorités fiscales pour les années 2008 à 2012. Conformément à la jurisprudence précitée, le fait que sa comptabilité et ses déclarations fiscales aient été établies par une fiduciaire ne permet pas de le décharger de ses obligations fiscales. Le recourant n’a d’ailleurs pas démontré avoir informé sa fiduciaire de tous les éléments de fortune et de revenus en cause. Il invoque certes avoir changé de fiduciaire en 2014 après avoir constaté que sa comptabilité n’avait pas été effectuée de manière correcte, mais ne soutient pas en avoir avisé les autorités fiscales. Par ailleurs, en agissant en tant que titulaire de l’entreprise individuelle, bénéficiant d’une signature individuelle, le recourant ne pouvait faire abstraction de ses obligations légales, au sens des art. 958 ss CO, en matière de présentation des comptes et comptabilisation au bilan. Ses fonctions de titulaire ne lui permettaient pas de renoncer à ses obligations, ce d’autant moins qu’il lui revenait de signer les rapports de gestion dans lesquels les comptes étaient présentés, selon l’art. 958 al. 3 CO. La preuve d'un comportement intentionnel, à tout le moins sous la forme du dol éventuel, doit ainsi être considérée comme apportée. C’est partant à juste titre que l'autorité intimée a retenu que les éléments constitutifs d'une soustraction d'impôt étaient réunis.</w:t>
      </w:r>
    </w:p>
    <w:p>
      <w:r>
        <w:rPr>
          <w:b/>
        </w:rPr>
        <w:t>E. 8</w:t>
      </w:r>
    </w:p>
    <w:p>
      <w:r>
        <w:t>Reste à examiner la quotité des amendes prononcées.</w:t>
      </w:r>
    </w:p>
    <w:p>
      <w:r>
        <w:t>- 23/26 - A/4435/2022</w:t>
      </w:r>
    </w:p>
    <w:p>
      <w:r>
        <w:rPr>
          <w:b/>
        </w:rPr>
        <w:t>E. 8.1</w:t>
      </w:r>
    </w:p>
    <w:p>
      <w:r>
        <w:t>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(ATA/407/2022 du 12 avril 2022 consid. 6c).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 s).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ATA/1002/2020 du 6 octobre 2020 consid. 9b et les références citées).</w:t>
      </w:r>
    </w:p>
    <w:p>
      <w:r>
        <w:rPr>
          <w:b/>
        </w:rPr>
        <w:t>E. 8.2</w:t>
      </w:r>
    </w:p>
    <w:p>
      <w:r>
        <w:t>En l’espèce, quoi qu’en pense le recourant, le montant des reprises sur le chiffre d’affaires de l’entreprise pour l’année 2012, soit CHF 75'994.-, est relativement important. S’ajoute à cela que les comptes bancaires et postaux, biens immobiliers et coffre-fort litigieux n'ont pas été déclarés pendant presque dix ans, ce qui constitue des éléments à charge, de même que le caractère intentionnel de l’infraction, commise à tout le moins par dol éventuel. L’autorité intimée a retenu une quotité d’une fois le montant des impôts soustraits. Compte tenu de la gravité des faits reprochés, ce montant apparait justifié au regard de la bonne collaboration du recourant neutre en matière de quotité de la peine. L'autorité intimée a ainsi respecté le cadre légal et n'a pas fait preuve d'une sévérité excessive. En conséquence, les amendes infligées sont justifiées tant dans leur principe que dans leur quotité. Le recours est ainsi partiellement admis. Les bordereaux de rappels d’impôts IFD et ICC 2008 à 2012 sont annulés dans la mesure reconnue par l’AFC-GE. Le dossier sera donc renvoyé à celle-ci afin qu’elle établisse des bordereaux de rappel d’impôt IFD et ICC 2008 et 2012 tenant compte des rectifications qu’elle a admises. Le jugement du TAPI sera confirmé pour le surplus.</w:t>
      </w:r>
    </w:p>
    <w:p>
      <w:r>
        <w:t>- 24/26 - A/4435/2022</w:t>
      </w:r>
    </w:p>
    <w:p>
      <w:r>
        <w:rPr>
          <w:b/>
        </w:rPr>
        <w:t>E. 9</w:t>
      </w:r>
    </w:p>
    <w:p>
      <w:r>
        <w:t>Vu l’issue du litige, un émolument de CHF 2'000.- sera mis à la charge du recourant. N’obtenant que très partiellement gain de cause, une indemnité de procédure de CHF 1’000.- lui sera allouée.</w:t>
      </w:r>
    </w:p>
    <w:p>
      <w:r>
        <w:t>* * * * *</w:t>
      </w:r>
    </w:p>
    <w:p>
      <w:r>
        <w:t>- 25/26 - A/4435/2022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