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ATA/1181/2017 vom 17. August 2017</w:t>
      </w:r>
    </w:p>
    <w:p>
      <w:r>
        <w:t>GE Cour de justice, 2017-08-17, FR</w:t>
      </w:r>
    </w:p>
    <w:p>
      <w:r>
        <w:rPr>
          <w:b/>
        </w:rPr>
        <w:t xml:space="preserve">Quelle: </w:t>
      </w:r>
      <w:r>
        <w:t>https://mcp.opencaselaw.ch/entscheid/ge_gerichte_ATA_1181_2017</w:t>
      </w:r>
    </w:p>
    <w:p>
      <w:r>
        <w:t>FR: GE_GERICHTE ATA/1181/2017 du 17 août 2017</w:t>
      </w:r>
    </w:p>
    <w:p>
      <w:r>
        <w:t>IT: GE_GERICHTE ATA/1181/2017 del 17 agosto 2017</w:t>
      </w:r>
    </w:p>
    <w:p>
      <w:pPr>
        <w:pStyle w:val="Heading2"/>
      </w:pPr>
      <w:r>
        <w:t>Erwägungen</w:t>
      </w:r>
    </w:p>
    <w:p>
      <w:r>
        <w:rPr>
          <w:b/>
        </w:rPr>
        <w:t>E. 12</w:t>
      </w:r>
    </w:p>
    <w:p>
      <w:r>
        <w:t>septembre 1985 - LPA - E 5 10 ; art. 10 al. 1 de la loi d'application de la LEtr du 16 juin 1988 - LaLEtr - F 2 10). 2)</w:t>
      </w:r>
    </w:p>
    <w:p>
      <w:r>
        <w:t>Produites spontanément après la fin du délai de recours, les écritures du recourant du 11 août 2017 seront écartées de la procédure. 3)</w:t>
      </w:r>
    </w:p>
    <w:p>
      <w:r>
        <w:t>Selon la jurisprudence du Tribunal fédéral, la qualité pour recourir suppose un intérêt actuel au recours (ATF 135 I 79 consid. 1 ; 131 II 361 consid. 1.2).</w:t>
      </w:r>
    </w:p>
    <w:p>
      <w:r>
        <w:t>La condition de l’intérêt actuel fait défaut en particulier lorsque, notamment, la décision attaquée a été exécutée et a sorti tous ses effets (ATF 125 I 394 consid. 4 ; ATA/2/2016 du 4 janvier 2016 ; ATA/671/2015 du 23 juin 2015 et les références citées).</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 ATA/2/2016 précité ; ATA/671/2015 précité).</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ATA/201/2017 du 16 février 2017 consid. 2 ; ATA/156/2013 du 7 mars 2013).</w:t>
      </w:r>
    </w:p>
    <w:p>
      <w:r>
        <w:t>- 7/10 - A/3101/2017</w:t>
      </w:r>
    </w:p>
    <w:p>
      <w:r>
        <w:t>Tel est le cas en l’espèce, dès lors que l’officier de police a conclu à l’annulation du jugement du TAPI alors que l’intimé a déjà été mis en liberté et qu’en fonction des circonstances, un nouvel ordre de mise en détention pourra être prononcé à l’encontre de l’intéressé,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w:t>
      </w:r>
    </w:p>
    <w:p>
      <w:r>
        <w:t>Le recours formé par l'officier de police sera en conséquence déclaré recevable. 4)</w:t>
      </w:r>
    </w:p>
    <w:p>
      <w:r>
        <w:t>Selon l’art. 10 al. 2 1ère phr. LaLEtr, la chambre administrative doit statuer dans les dix jours qui suivent sa saisine. Statuant ce jour, elle respecte le délai.</w:t>
      </w:r>
    </w:p>
    <w:p>
      <w:r>
        <w:t>En outre, à teneur dudit art. 10 LaLEtr, la chambre administrative est compétente pour apprécier l'opportunité des décisions portées devant elle en cette matière (al. 2 2ème phr.) ; elle peut confirmer, réformer ou annuler la décision attaquée ; le cas échéant, elle ordonne la mise en liberté de l’étranger (al. 3 1ère phr.). 5)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b. À teneur de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 2 du règlement [UE] n° 604/2013).</w:t>
      </w:r>
    </w:p>
    <w:p>
      <w:r>
        <w:t>Cette disposition est similaire à l’art. 76 al. 1 let. b ch. 4 LEtr qui, avec l’al. 3 de cette même disposition, décrivent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w:t>
      </w:r>
    </w:p>
    <w:p>
      <w:r>
        <w:t>- 8/10 - A/3101/2017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d.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6) a. En l’espèce, le TAPI a admis à juste titre que des éléments concrets permettaient de craindre que M. A______ se soustraie à son refoulement. Ce dernier a non seulement dit et répété qu’il n’entendait pas quitter Genève sans sa mère et sans sa sœur alors que, les trois étant majeurs, leurs situations ne sont pas directement liées ; il a surtout indiqué qu’il ne pouvait accepter de repartir en</w:t>
      </w:r>
    </w:p>
    <w:p>
      <w:r>
        <w:t>- 9/10 - A/3101/2017 Grande-Bretagne, les autorités de ce pays désirant le renvoyer dans son pays d’origine.</w:t>
      </w:r>
    </w:p>
    <w:p>
      <w:r>
        <w:t>En conséquence, la condition exigée par l'art. 76a al. 1 let. a LEtr est réalisée.</w:t>
      </w:r>
    </w:p>
    <w:p>
      <w:r>
        <w:t>b. Le recourant soutient que c’est à tort que le TAPI a considéré que les mises en détention de l’intéressé violaient le principe de la proportionnalité.</w:t>
      </w:r>
    </w:p>
    <w:p>
      <w:r>
        <w:t>Toutefois, le dossier ne permet pas de retenir cette position. L’analyse à laquelle le TAPI a procédé est dans son ensemble rigoureuse et exacte. Le maintien en détention de l’intéressé était disproportionné au vu de l’état de santé de ses proches. Ce n’est qu’en cas d’opposition au renvoi de l’ensemble de la famille qu’il pourrait être envisagé d’appliquer cette mesure de contrainte.</w:t>
      </w:r>
    </w:p>
    <w:p>
      <w:r>
        <w:t>Au vu de la situation de l’intéressé et de sa famille, d’autres mesures que la mise en détention administrative, dont le choix est laissé à l’appréciation de l’autorité recourante, doivent permettre d’assurer l’exécution du renvoi, si ce dernier doit être réalisé. 7)</w:t>
      </w:r>
    </w:p>
    <w:p>
      <w:r>
        <w:t>Le recours sera, en conséquence, rejeté.</w:t>
      </w:r>
    </w:p>
    <w:p>
      <w:r>
        <w:t>La procédure étant gratuite, aucun émolument ne sera perçu (art. 12 du règlement sur les frais, émoluments et indemnités en procédure administrative du 30 juillet 1986 - RFPA - E 5 10.03 et art. 87 al. 1 LPA). Une indemnité de procédure de CHF 750.- sera allouée à l’intimé,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