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ATA/1178/2022 vom 22. November 2022</w:t>
      </w:r>
    </w:p>
    <w:p>
      <w:r>
        <w:t>GE Cour de justice, 2022-11-22, FR</w:t>
      </w:r>
    </w:p>
    <w:p>
      <w:r>
        <w:rPr>
          <w:b/>
        </w:rPr>
        <w:t xml:space="preserve">Quelle: </w:t>
      </w:r>
      <w:r>
        <w:t>https://mcp.opencaselaw.ch/entscheid/ge_gerichte_ATA_1178_2022</w:t>
      </w:r>
    </w:p>
    <w:p>
      <w:r>
        <w:t>FR: GE_GERICHTE ATA/1178/2022 du 22 novembre 2022</w:t>
      </w:r>
    </w:p>
    <w:p>
      <w:r>
        <w:t>IT: GE_GERICHTE ATA/1178/2022 del 22 novembre 2022</w:t>
      </w:r>
    </w:p>
    <w:p>
      <w:pPr>
        <w:pStyle w:val="Heading2"/>
      </w:pPr>
      <w:r>
        <w:t>Regeste</w:t>
      </w:r>
    </w:p>
    <w:p>
      <w:r>
        <w:t>Résumé: Contestation d'une reprise effectuée par l'AFC-GE dans la taxation de l’actionnaire unique et administrateur d’une société au titre d'intérêts excessifs de prêts accordés à ladite société par les proches de cet administrateur unique (membres de sa famille), ces intérêts excessifs constituant une distribution dissimulée de bénéfice et donc une prestation appréciable en argent. Pour écarter l'existence d'une prestation appréciable en argent, il convient d'examiner si la prestation aurait été accordée dans la même mesure à un tiers étranger à la société, soit si la transaction a respecté le principe de pleine concurrence, concrétisé par la lettre-circulaire de l’AFC-CH, édictée chaque année concernant les taux d’intérêts. Le taux appliqué au prêt, de 5%, dépasse largement le taux de cette lettre-circulaire, fixé à 3% en 2015, année fiscale concernée. Le recourant n'a en l'occurrence pas justifié un tel taux. Il s’agissait donc pour les intérêts excessifs, d’une prestation appréciable en argent, qu’il convenait, en vertu de la théorie du triangle, de retenir dans la taxation du recourant. Recours rejeté.</w:t>
      </w:r>
    </w:p>
    <w:p>
      <w:pPr>
        <w:pStyle w:val="Heading2"/>
      </w:pPr>
      <w:r>
        <w:t>Erwägungen</w:t>
      </w:r>
    </w:p>
    <w:p>
      <w:r>
        <w:rPr>
          <w:b/>
        </w:rPr>
        <w:t>E. 12</w:t>
      </w:r>
    </w:p>
    <w:p>
      <w:r>
        <w:t>septembre 1985 - LPA - E 5 10 ; art. 7 al. 2 de la loi de procédure fiscale du 4 octobre 2001 - LPFisc - D 3 17 ; art. 145 LIFD). 2) a. Le litige porte sur la période fiscale 2015 en matière d’ICC et d’IFD. Il concerne la conformité au droit de la reprise d’intérêts de CHF 16'047.- dans la taxation du contribuable au titre de prestation appréciable en argent.</w:t>
      </w:r>
    </w:p>
    <w:p>
      <w:r>
        <w:t>b. La question à trancher dans le cadre du recours étant traitée de la même manière en droit fédéral et en droit cantonal harmonisé, le présent arrêt traite simultanément des deux impôts, comme l'admet la jurisprudence (ATF 135 II 260 ; ATA/463/2020 du 7 mai 2020 consid. 6b).</w:t>
      </w:r>
    </w:p>
    <w:p>
      <w:r>
        <w:t>c. De jurisprudence constante, les questions de droit matériel sont résolues en fonction du droit au vigueur lors des périodes fiscales litigieuses (ATA/1727/2019 du 26 novembre 2019 consid. 3a).</w:t>
      </w:r>
    </w:p>
    <w:p>
      <w:r>
        <w:t>d. En l'espèce, le présent litige porte sur l'ICC 2015 du recourant et la cause est ainsi régie par le droit en vigueur durant cette période fiscale, soit la LIFD et la LIPP. 3) 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de</w:t>
      </w:r>
    </w:p>
    <w:p>
      <w:r>
        <w:t>- 7/15 - A/2467/2021 la loi du 14 décembre 1990 sur l'harmonisation fiscale des impôts directs des cantons et des communes (LHID - RS 642.14).</w:t>
      </w:r>
    </w:p>
    <w:p>
      <w:r>
        <w:t>b. En vertu des art. 20 al. 1 let. c LIFD et 22 al. 1 let. c LIPP,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ATA/513/2016 du 14 juin 2016 consid. 6b ; Xavier OBERSON, Droit fiscal suisse, 4ème éd., 2012, p. 138 n. 139). En raison du contenu similaire de l'art. 20 al. 1 let. c LIFD ainsi que des 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(ATA/616/2020 du 23 juin 2020 ; ATA/1318/2018 du 4 décembre 2018 consid. 4a).</w:t>
      </w:r>
    </w:p>
    <w:p>
      <w:r>
        <w:t>c.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 du Tribunal fédéral 2C_181/2020 précité consid. 5.2). Il convient ainsi d'examiner si la prestation aurait été accordée dans la même mesure à un tiers étranger à la société, soit si la transaction a respecté le principe de pleine concurrence (« dealing at arm's length » ; ATF 140 II 88 consid. 4.1 ; 138 II 57 consid. 2.2).</w:t>
      </w:r>
    </w:p>
    <w:p>
      <w:r>
        <w:t>Les formes d'apparition des prestations appréciables en argent sont multiples. Elles peuvent être réalisées par un accroissement injustifié des frais généraux (salaire excessif, paiement d'intérêts disproportionnés pour un prêt de</w:t>
      </w:r>
    </w:p>
    <w:p>
      <w:r>
        <w:t>- 8/15 - A/2467/2021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w:t>
      </w:r>
    </w:p>
    <w:p>
      <w:r>
        <w:t>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du Tribunal fédéral 2C_181/2020 du 10 août 2020 consid. 5.3). 4) a.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w:t>
      </w:r>
    </w:p>
    <w:p>
      <w:r>
        <w:t>b. 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 Il peut s’agir, par exemple, des liens de parenté ou amicaux (arrêt du Tribunal fédéral 2C_177/2016 du 30 janvier 2017 consid. 4.3). La notion de proche au sens fiscal du terme s'étend également aux personnes auxquelles l'actionnaire permet d'utiliser la société comme si c'était la leur (ATF 138 II 57 consid. 2.3 ; 138 II 545 consid. 3.4 confirmé par arrêt du Tribunal fédéral 2C_16/2015 du 6 août 2015 consid. 2).</w:t>
      </w:r>
    </w:p>
    <w:p>
      <w:r>
        <w:t>c.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w:t>
      </w:r>
    </w:p>
    <w:p>
      <w:r>
        <w:t>- 9/15 - A/2467/2021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2C_1071/2020 du 19 février 2021 consid. 3.2.2 et 3.2.3 ; 2C_886/2020 du 23 novembre 2020 consid. 3.2.1 ; 2C_777/2019 du 28 avril 2020 consid. 5.3.2 ; 2C_750/2019 du 7 juillet 2020 consid. 3.2 ; 2C_16/2015 du 6 août 2015 consid. 2.5.5 à 2.5.8). Si l'actionnaire ne critique pas de manière détaillée la reprise alléguée par l'autorité fiscale, ou s'il se borne à exposer des généralités, l'autorité fiscale est en droit d'admettre que la reprise dont l'imposition est entrée en force dans le chapitre de la société est également justifiée dans le chapitre de l'actionnaire (arrêts du Tribunal fédéral 2C_736/2018 du 15 février 2019 consid. 2.2.2 ; 2C_32/2018 du 11 novembre 2019 consid. 3.2.3 ; 2C_16/2015 précité consid. 2.3.4 ;) 5) a.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ou leurs proches (ATF 140 II 88 précité consid. 5.1).</w:t>
      </w:r>
    </w:p>
    <w:p>
      <w:r>
        <w:t>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2015).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w:t>
      </w:r>
    </w:p>
    <w:p>
      <w:r>
        <w:t>En ce qui concerne les prêts en francs suisses des actionnaires ou associés (ou de leurs proches), le ch. 2.2 de la lettre-circulaire 2015 prévoit, pour les crédits d’exploitation dans le commerce et l’industrie, un taux d’intérêt maximum de 3 % jusqu’à CHF 1'000'000.- et de 1 % à partir de cette somme.</w:t>
      </w:r>
    </w:p>
    <w:p>
      <w:r>
        <w:t>b. Le Tribunal fédéral a déjà eu l'occasion de préciser que, même si ladite lettre-circulaire de l'AFC-CH est une directive interne à l'administration ne le liant pas, tout comme le contribuable et l'autorité de taxation, elle tend à une application uniforme et égale du droit, de sorte qu'elle n'est écartée que si elle ne</w:t>
      </w:r>
    </w:p>
    <w:p>
      <w:r>
        <w:t>- 10/15 - A/2467/2021 traduit pas une concrétisation convaincante des dispositions légales applicables (ATF 140 II 88 précité consid. 5.1.2 et la jurisprudence citée). Le but de cette directive est de simplifier la mise en œuvre du principe de pleine concurrence en relation avec les taux d'intérêts de prêts conclus en CHF entre des sociétés et leurs actionnaires ou associés ou leurs proches (ATF 140 II 88 précité consid. 5.1). Sauf preuve du contraire ou circonstance particulière, les taux d'intérêt minimaux et maximaux y figurant sont ainsi réputés refléter ceux pratiqués en situation de pleine concurrence pour l'année en cause (Robert DANON, Commentaire romand, Impôt fédéral direct, 2017, n. 18 ad art. 65 LIFD). S'agissant de la reprise d'intérêts, sont déterminants les taux pratiqués lors de la période fiscale considérée (arrêt du Tribunal fédéral 2C_443/2017 du 15 janvier 2018 consid. 6.2). 6) a.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(art. 41 LIFD). L'attribution d'un revenu à une période fiscale s'effectue ainsi selon le principe de la réalisation, qui y est lié (ATF 137 II 353 consid. 6.4.4 ; arrêts du Tribunal fédéral 2C_784/2017 du 8 mars 2018 consid. 7.4 ; 2C_683/2013 du 13 février 2014 consid. 6.3).</w:t>
      </w:r>
    </w:p>
    <w:p>
      <w:r>
        <w:t>b. La créance d'impôt naît sitôt que les faits générateurs prévus par la loi sont réalisés. La créance fiscale prend naissance ex lege,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(arrêts du Tribunal fédéral 2C_152/2015 du 31 juillet 2015 consid. 4.2 ; 2C_692/2013 du 24 mars 2014 consid. 4.2).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(arrêts du Tribunal fédéral 2C_687/2018 du</w:t>
      </w:r>
    </w:p>
    <w:p>
      <w:r>
        <w:rPr>
          <w:b/>
        </w:rPr>
        <w:t>E. 15</w:t>
      </w:r>
    </w:p>
    <w:p>
      <w:r>
        <w:t>février 2019 consid. 4.5 ; arrêts du Tribunal fédéral 2C_152/2015 précité consid. 4.2).</w:t>
      </w:r>
    </w:p>
    <w:p>
      <w:r>
        <w:t>Selon la jurisprudence, un revenu est réalisé lorsqu'une prestation est faite au contribuable ou que ce dernier acquiert une prétention ferme sur laquelle il a effectivement un pouvoir de disposition (ATF 113 Ib 26 ; arrêts du Tribunal fédéral 2C_785/2013 du 28 mai 2014 consid. 4.1 ; 2C_620/2012 précité consid. 3.4 et les références citées ; ATA/1519/2017 du 21 novembre 2017). En règle générale, l'acquisition d'une prétention est déjà considérée comme un revenu dans la mesure où son exécution ne paraît pas incertaine. Ce n'est que si cette exécution paraît d'emblée peu probable que le moment de la perception réelle de la</w:t>
      </w:r>
    </w:p>
    <w:p>
      <w:r>
        <w:t>- 11/15 - A/2467/2021 prestation est pris en considération (arrêts du Tribunal fédéral 2C_152/2015 précité consid. 4.3 ; 2C_692/2013 précité consid. 4.2 ; 2C_683/2013 du précité consid. 6.4 et les références citées ; ATA/1519/2017 précité ; ATA/41/2016 du 19 janvier 2016).</w:t>
      </w:r>
    </w:p>
    <w:p>
      <w:r>
        <w:t>En droit civil, sauf convention contraire, les intérêts stipulés se paient annuellement (art. 314 al. 2 de la loi fédérale du 30 mars 1911, complétant le Code civil suisse - CO, Code des obligations - RS 220). Selon la jurisprudence, le moment de l'échéance des intérêts est en principe déterminant du point de vue de la réalisation d'un revenu, puisque le créancier acquiert dès ce moment-là une prétention ferme à l'endroit du débiteur (arrêt du Tribunal fédéral 2C_710/2017 du 29 octobre 2018 consid. 5.4). 7)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w:t>
      </w:r>
    </w:p>
    <w:p>
      <w:r>
        <w:t>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(ATA/1239/2021 du 16 novembre 2021 consid. 5b et les références citées).</w:t>
      </w:r>
    </w:p>
    <w:p>
      <w:r>
        <w:t>c. Dans le domaine des prestations appréciables en argent, telles que des distributions dissimulées de bénéfice, le fardeau de la preuve se répartit comme</w:t>
      </w:r>
    </w:p>
    <w:p>
      <w:r>
        <w:t>- 12/15 - A/2467/2021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8)</w:t>
      </w:r>
    </w:p>
    <w:p>
      <w:r>
        <w:t>En l’espèce, il ressort du dossier, notamment des explications du recourant dans son courrier du 1er juin 2021, que la société a reçu un prêt d’un membre de sa famille, rémunéré à hauteur de 5 % et comptabilisé en 2015 dans les comptes de la société. Ces éléments ne sont à juste titre pas contestés par le recourant. Or, ce taux est manifestement supérieur au taux admis dans la lettre-circulaire de l’AFC- CH précitée, qui s’élève à 3 %. Pour justifier un tel taux, le recourant se contente d’indiquer que les banques auraient refusé de prêter à la société, en raison de crédits jugés trop risqués. Il n’étaye cependant cette affirmation par aucun moyen ni aucun document, comme par exemple des courriers de refus d’institutions bancaires. Il n’apporte pas non plus d’explications précises ou d’autres éléments de preuves justifiant l’application d’un taux d’intérêt plus élevé que celui établi par la lettre-circulaire 2015, alors que le fardeau de la preuve lui appartient sur ce point. Dans ces conditions, il doit être considéré que la société dont le recourant est actionnaire unique s’est vue accorder un prêt par un proche, à un taux excessif, taux que le recourant n’a pas été en mesure de justifier. Il s’agit donc, pour les intérêts excessifs de CHF 16'047.-, d’une prestation appréciable en argent, qui convient, en vertu de la théorie du triangle précitée, de retenir dans la taxation du recourant.</w:t>
      </w:r>
    </w:p>
    <w:p>
      <w:r>
        <w:t>S’agissant de l’année retenue pour la taxation, le recourant semble tout d’abord confondre les intérêts du prêt qu’il aurait lui-même octroyé à la société de ceux dus par la société à ses proches pour le prêt de CHF 800’028.-. À titre liminaire, il sera rappelé que la présente procédure ne concerne pas les intérêts dus par la société au recourant pour les prêts que ce dernier lui a octroyés, de telle sorte que son argumentation à cet égard est sans objet. La prestation appréciable en argent dont il est ici question ne concerne que les intérêts relatifs au prêt accordé par la famille du contribuable à la société. Ces intérêts, échus en 2015 et établis la même année par la société, étaient dus par la société à son créancier, ce</w:t>
      </w:r>
    </w:p>
    <w:p>
      <w:r>
        <w:t>- 13/15 - A/2467/2021 qui n’est pas contesté, ce dernier ayant acquis une prétention ferme en paiement durant l’année fiscale litigieuse. Le choix de ne pas exiger à ce moment l’exécution de ce paiement ne remet pas en question l’imposition des intérêts précités dans le cadre de l’année fiscale en cause, conformément au principe de réalisation effective. Il n’a par ailleurs pas été allégué que le créancier aurait renoncé à ces intérêts, mais seulement accepté le report de ce paiement, le recourant indiquant à ce sujet que ceux-ci auraient été versés en 2016. C’est donc à juste titre que le TAPI a considéré que l’AFC-GE avait retenu l’année fiscale querellée comme année de taxation. Le grief du recourant doit être écarté sur ce point.</w:t>
      </w:r>
    </w:p>
    <w:p>
      <w:r>
        <w:t>Enfin, contrairement aux allégations du recourant, le montant des intérêts dus par la société pour le prêt de ses proches ne ressort pas de sa propre déclaration fiscale pour l’année 2016. Il allègue certes qu’il les aurait déclarés, mais ne démontre pas que cela soit le cas, en indiquant par exemple les rubriques où ils figureraient. Le montant des intérêts versés par la société ne figure ainsi ni dans son activité indépendante ni dans son état des titres, ni par hypothèse dans toute autre rubrique de sa déclaration fiscale 2016. Dès lors, il ne saurait invoquer le grief d’une double taxation, qui doit être écarté.</w:t>
      </w:r>
    </w:p>
    <w:p>
      <w:r>
        <w:t>Il n’est du reste pas inutile de rappeler qu’une double imposition économique, qui conduit à une reprise tant au niveau de l’impôt sur le bénéfice pour la société distributrice que de l’impôt sur le revenu pour le bénéficiaire de l’avantage, a été voulue par le législateur (ATF 136 I 65 consid. 5.4). Ainsi, selon la jurisprudence, si une opération commerciale qualifiée de prestation appréciable en argent n'a été imposée ni auprès de la société de capitaux ni auprès du détenteur de parts, il en résulte une reprise chez l'un comme chez l'autre (arrêts du Tribunal fédéral 2C_485/2019 du 6 novembre 2019 consid. 8.1 ; 2C_177/2016 du 30 janvier 2017 consid. 4.4).</w:t>
      </w:r>
    </w:p>
    <w:p>
      <w:r>
        <w:t>Par conséquent, c’est à juste titre que l’AFC-GE a considéré qu’une prestation appréciable en argent portant sur le surplus d’intérêts payés par la société aux proches du recourant devait être reprise dans la taxation 2015 de ce dernier conformément à la théorie du triangle. Le taux de 3 % appliqué par l’autorité intimée est conforme au droit, de sorte que la reprise au titre d’intérêts excessifs de CHF 16'047.- doit être confirmée.</w:t>
      </w:r>
    </w:p>
    <w:p>
      <w:r>
        <w:t>Dans ces circonstances, le recours, mal fondé, doit être rejeté. 9)</w:t>
      </w:r>
    </w:p>
    <w:p>
      <w:r>
        <w:t>Vu l'issue du litige, un émolument de CHF 1'000.- sera mis à la charge du recourant (art. 87 al. 1 LPA) et il ne sera pas alloué d'indemnité de procédure (art. 87 al. 2 LPA). * * * * *</w:t>
      </w:r>
    </w:p>
    <w:p>
      <w:r>
        <w:t>- 14/15 - A/2467/2021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