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ATA/1176/2015 vom 3. November 2015</w:t>
      </w:r>
    </w:p>
    <w:p>
      <w:r>
        <w:t>GE Cour de justice, 2015-11-03, FR</w:t>
      </w:r>
    </w:p>
    <w:p>
      <w:r>
        <w:rPr>
          <w:b/>
        </w:rPr>
        <w:t xml:space="preserve">Quelle: </w:t>
      </w:r>
      <w:r>
        <w:t>https://mcp.opencaselaw.ch/entscheid/ge_gerichte_ATA_1176_2015</w:t>
      </w:r>
    </w:p>
    <w:p>
      <w:r>
        <w:t>FR: GE_GERICHTE ATA/1176/2015 du 3 novembre 2015</w:t>
      </w:r>
    </w:p>
    <w:p>
      <w:r>
        <w:t>IT: GE_GERICHTE ATA/1176/2015 del 3 novembre 2015</w:t>
      </w:r>
    </w:p>
    <w:p>
      <w:pPr>
        <w:pStyle w:val="Heading2"/>
      </w:pPr>
      <w:r>
        <w:t>Erwägungen</w:t>
      </w:r>
    </w:p>
    <w:p>
      <w:r>
        <w:rPr>
          <w:b/>
        </w:rPr>
        <w:t>E. 22</w:t>
      </w:r>
    </w:p>
    <w:p>
      <w:r>
        <w:t>janvier 2008 consid. 4.2 ; ATA/822/2015 du 11 août 2015 consid. 10a ; ATA/700/2014 du 2 septembre 2014 consid. 4a ; ATA/141/2012 du 13 mars 2012 consid. 4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d’un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w:t>
      </w:r>
    </w:p>
    <w:p>
      <w:r>
        <w:t>- 8/18 - A/456/2014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 ATA/822/2015 précité consid. 10b).</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(ATA/822/2015 précité consid. 10c ; ATA/700/2014 précité consid. 4c ; ATA/811/2012 du 27 novembre 2012 consid. 2a ; ATA/398/2012 du 26 juin 2012 consid. 8 ; Pierre MOOR/ 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 7)</w:t>
      </w:r>
    </w:p>
    <w:p>
      <w:r>
        <w:t>En l’espèce, il ne peut être admis que l’« Avis d’échéance/demande de renouvellement » puisse constituer au regard de sa teneur une promesse concrète de renouvellement de l’autorisation de séjour faite par l’OCPM au recourant. Au demeurant, vu les circonstances administratives de sa propre situation, que le recourant connaissait parfaitement, soit essentiellement le fait que sa précédente autorisation de séjour lui avait été accordée uniquement en vue du regroupement familial avec son épouse de l’époque et qu’il avait entre-temps divorcé, ce dernier ne pouvait raisonnablement déduire du contenu de ce document, une promesse concrète faite par l’OCPM que son autorisation de séjour serait automatiquement renouvelée malgré son divorce survenu dans l’intervalle. Il est au contraire notoire qu’un divorce peut affecter la situation d’un étranger en Suisse au regard des lois applicables. Il s’ensuit que le principe de la bonne foi n’a pas été violé. 8)</w:t>
      </w:r>
    </w:p>
    <w:p>
      <w:r>
        <w:t>La LEtr et ses ordonnances d'exécution, en particulier l’OASA, règlent l’entrée, le séjour et la sortie des étrangers dont le statut juridique n’est pas réglé par d’autres dispositions du droit fédéral ou par des traités internationaux conclus</w:t>
      </w:r>
    </w:p>
    <w:p>
      <w:r>
        <w:t>- 9/18 - A/456/2014 par la Suisse (art. 1 et 2 LEtr), tels que l’Accord entre la Confédération suisse, d'une part, et la Communauté européenne (CE) et ses États membres, d’autre part, sur la libre circulation des personnes, du 21 juin 1999, entré en vigueur le 1er juin 2002 (ALCP - RS 0.142.112.681).</w:t>
      </w:r>
    </w:p>
    <w:p>
      <w:r>
        <w:t>Les membres de la famille d’une personne ressortissante d’une partie contractante ayant un droit de séjour ont le droit de s’installer avec elle (art. 3 al. 1 annexe I ALCP). Le conjoint est considéré comme un « membre de la famille » au sens de l’article précité, quelle que soit sa nationalité (art. 3 al. 2 let. 1 annexe I ALCP).</w:t>
      </w:r>
    </w:p>
    <w:p>
      <w:r>
        <w:t>En l’espèce, le recourant ne peut plus se prévaloir de l’art. 3 annexe I ALCP, dans la mesure où son divorce a été prononcé le 18 juin 2009.</w:t>
      </w:r>
    </w:p>
    <w:p>
      <w:r>
        <w:t>Ainsi, la poursuite de son séjour n’est plus régie par les dispositions de l’ALCP mais par celles de la LEtr et de ses ordonnances d’exécution. 9)</w:t>
      </w:r>
    </w:p>
    <w:p>
      <w:r>
        <w:t>Selon l'art. 34 al. 2 let. a et b LEtr,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et qu’il n’existe aucune motif de révocation au sens de l’art. 62 LEtr (arrêt du Tribunal fédéral 2C_382/2010 du 4 octobre 2010 consid. 5.3 et la jurisprudence citée).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Les séjours temporaires ne sont pas pris en compte dans le séjour ininterrompu de cinq ans prévu aux al. 2, let. a, et 4. Les séjours effectués à des fins de formation ou de perfectionnement (art. 27 LEtr) sont pris en compte lorsque, une fois ceux-ci achevés, l'étranger a été en possession d'une autorisation de séjour durable pendant deux ans sans interruption (al. 5). Cette disposition a un caractère potestatif (arrêt du Tribunal fédéral 2C_705/2012 du 24 juillet 2012 consid. 3.1 ; ATA/384/2013 du 18 juin 2013 ; ATA/455/2012 du 30 juillet 2012).</w:t>
      </w:r>
    </w:p>
    <w:p>
      <w:r>
        <w:t>Selon l'art. 62 al. 1 OASA, l'autorisation d'établissement peut être octroyée de manière anticipée au sens de l'art. 34 al. 4 LEtr en cas d'intégration réussie, notamment lorsque l'étranger : a. respecte l'ordre juridique suisse et les valeurs de la Cst. ; b. dispose de connaissances de la langue nationale parlée au lieu de domicile équivalant au moins au niveau A2 du Cadre européen commun de référence pour les langues publié par le Conseil de l'Europe ; les</w:t>
      </w:r>
    </w:p>
    <w:p>
      <w:r>
        <w:t>- 10/18 - A/456/2014 connaissances d'une autre langue nationale peuvent également être prises en compte dans des cas dûment motivés ; c. manifeste sa volonté de participer à la vie économique et de se former.</w:t>
      </w:r>
    </w:p>
    <w:p>
      <w:r>
        <w:t>Les autorités compétentes tiennent compte, en exerçant leur pouvoir d’appréciation, des intérêts publics, de la situation personnelle de l’étranger, ainsi que de son degré d’intégration (art. 96 al. 1 LEtr). 10) En l’espèce, il ressort du dossier que le recourant a été mis au bénéfice d’une autorisation de séjour pour études le 5 novembre 2002, autorisation renouvelée à plusieurs reprises jusqu’au 30 novembre 2006.</w:t>
      </w:r>
    </w:p>
    <w:p>
      <w:r>
        <w:t>Le 15 février 2007, l’OCPM a rendu une décision par laquelle il refusait de prolonger l’autorisation de séjour du recourant tout en lui impartissant un délai au 15 mars 2007 pour quitter la Suisse. Ce n’est qu’à partir du 29 avril 2008, que l’OCPM a délivré au recourant une autorisation de séjour (permis B CE/AELE) valable jusqu’au 1er novembre 2012, ce au titre du regroupement familial avec son épouse de nationalité portugaise au bénéfice d’une autorisation d’établissement en Suisse compte tenu de son mariage avec cette dernière le 2 novembre 2007.</w:t>
      </w:r>
    </w:p>
    <w:p>
      <w:r>
        <w:t>Par ailleurs, on ne saurait comptabiliser les années d’études du recourant dans le calcul de la durée de son séjour en Suisse dans la mesure où il n’a pas achevé sa formation et n’a pas obtenu le diplôme visé (art. 34 al. 5 LEtr).</w:t>
      </w:r>
    </w:p>
    <w:p>
      <w:r>
        <w:t>Ainsi, ce n’est qu’à partir du 29 avril 2008, soit lorsqu’une autorisation de séjour au titre du regroupement familial avec son épouse de l’époque lui a été octroyée, que le calcul de la durée de son séjour peut être pris en compte.</w:t>
      </w:r>
    </w:p>
    <w:p>
      <w:r>
        <w:t>Il apparaît dès lors d’emblée que le recourant ne peut être mis au bénéfice d’une autorisation d’établissement au sens de l'art. 34 al. 2 let. a et b LEtr, la durée de son séjour en Suisse comptabilisable au regard de ce qui précède n’atteignant pas dix ans.</w:t>
      </w:r>
    </w:p>
    <w:p>
      <w:r>
        <w:t>S’agissant de la possibilité d’octroyer une autorisation d’établissement au sens de l’art 34 al. 4 LEtr, soit au terme d'un séjour ininterrompu de cinq ans au titre d'une autorisation de séjour lorsque l'étranger s'est bien intégré en Suisse, il convient de relever que le recourant, malgré ses explications relatives à ses échanges de courriers avec l’OCPM survenus avant l’échéance de son autorisation de séjour, ne peut se prévaloir d’être au bénéfice d’une autorisation de séjour ininterrompu au cours des cinq dernières années dès lors que sa dernière autorisation de séjour, valable jusqu’au 1er novembre 2012, n’a pas été renouvelée. On ne saurait en conséquence lui appliquer cette disposition vu l’absence de cette condition légale impérative, ce indépendamment de la question de son niveau d’intégration en Suisse au sens de l’art. 62 al. 1 OASA qui peut dès lors rester ouverte.</w:t>
      </w:r>
    </w:p>
    <w:p>
      <w:r>
        <w:t>- 11/18 - A/456/2014</w:t>
      </w:r>
    </w:p>
    <w:p>
      <w:r>
        <w:t>Enfin, comme le relève l’autorité inférieure, le recourant n’allègue pas, ni n’offre de prouver que des raisons majeures au sens de l’art. 34 al. 3 LEtr justifieraient que l’OCPM lui octroie une autorisation d’établissement.</w:t>
      </w:r>
    </w:p>
    <w:p>
      <w:r>
        <w:t>Le jugement entrepris sera donc confirmé sur cette question de l’autorisation d’établissement. 11) Selon l’art. 50 al. 1 let. a LEtr (en relation avec l’art. 43 LEtr), après la dissolution du mariage, le droit du conjoint à l'octroi d'une autorisation de séjour et à la prolongation de sa durée de validité subsiste notamment lorsque l'union conjugale a duré au moins trois ans et que l'intégration est réussie.</w:t>
      </w:r>
    </w:p>
    <w:p>
      <w:r>
        <w:t>D’après la jurisprudence, il n’est pas nécessaire d’examiner la condition de la réussite de l’intégration lorsque l’union conjugale a duré moins de trois ans, les deux conditions à l’art. 50 al. 1 let. a LEtr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ATA/814/2015 du 11 août 2015 consid. 6 ; ATA/444/2014 du 17 juin 2014 consid. 6).</w:t>
      </w:r>
    </w:p>
    <w:p>
      <w:r>
        <w:t>En l’espèce, le recourant ne conteste pas que l’union conjugale relative à son mariage, contracté le 2 novembre 2007 et dissous le 18 juin 2009, a duré moins de trois ans. La condition relative à son intégration n’a ainsi pas à être examinée. 12)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ATA/514/2014 du 1er juillet 2014 consid. 5a ; ATA/814/2015 précité consid. 7 ; ATA/64/2013 du 6 février 2013 consid. 5b).</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w:t>
      </w:r>
    </w:p>
    <w:p>
      <w:r>
        <w:t>- 12/18 - A/456/2014 137 II 1 consid. 4.1 p. 7 ss in RDAF 2012 I 515 p. 516 ; 137 II 345 consid. 3.2.1 p. 348 in RDAF 2012 I 519 p. 520 ; ATA/601/2015 du 9 juin 2015).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p. 520 ; arrêt du Tribunal fédéral 2C_220/2014 précité consid. 2.3).</w:t>
      </w:r>
    </w:p>
    <w:p>
      <w:r>
        <w:t>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précité consid. 5b ; ATA/843/2012 du 18 décembre 2012 consid. 2b).</w:t>
      </w:r>
    </w:p>
    <w:p>
      <w:r>
        <w:t>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 stark gefährdet »).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précité consid. 4.2 ; 2C_369/2010 du 4 novembre 2010 consid. 4.1 ; 2C_376/2010 du 18 août 2010 consid. 6.3.1 ; ATA/64/2013 du 6 février 2013 consid. 5b).</w:t>
      </w:r>
    </w:p>
    <w:p>
      <w:r>
        <w:t>En l’espèce, le recourant explique ne plus envisager de retourner dans son pays d’origine, tant le fossé s’est agrandi entre le mode de vie qu’il a en Suisse depuis plus de douze années et celui qu’il aurait dans son pays. Il expose également que le bénéfice de son diplôme de comptabilité obtenu auprès de la Fondation pour la formation des adultes (ci-après : IFAGE) serait totalement</w:t>
      </w:r>
    </w:p>
    <w:p>
      <w:r>
        <w:t>- 13/18 - A/456/2014 perdu s’il devait retourner en Tunisie. Par ailleurs, il fait état de son intégration réussie, de son respect de l’ordre juridique suisse et de sa volonté de prendre part à la vie économique.</w:t>
      </w:r>
    </w:p>
    <w:p>
      <w:r>
        <w:t>Si certes les raisons invoquées par le recourant sont compréhensibles s’agissant de sa volonté de rester en Suisse et que son intégration peut être par ailleurs qualifiée d’à peine satisfaisante, cela ne saurait toutefois justifier l’octroi d’une autorisation pour raisons personnelles majeures au sens de la jurisprudence rappelée ci-dessus. En effet, on ne saurait admettre au regard de l’ensemble des circonstances qu’un retour dans son pays d’origine impliquerait de graves conséquences sur sa situation personnelle, professionnelle et familiale au point qu’il conviendrait de déroger au régime général applicable en terme d’autorisation de séjour. Le recourant parlant le français et disposant d’une formation en comptabilité pouvant tout à fait être mise à profit dans son pays d’origine, il est ainsi en mesure de se réinsérer sans plus de difficultés que celles supportées par l’ensemble de la population de son pays d’origine.</w:t>
      </w:r>
    </w:p>
    <w:p>
      <w:r>
        <w:t>Le jugement entrepris sera donc confirmé sur la question de l’autorisation de séjour au sens de l’art. 50 LEtr. 13) Le second grief soulevé par le recourant consiste en la violation de l’art. 96 LEtr, en ce sens que l’autorité inférieure n’aurait pas examiné sa situation sous l’angle du cas de rigueur des art. 30 al. 1 LEtr et 31 OASA alors qu’il remplirait parfaitement les conditions de ce dernier. 14)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w:t>
      </w:r>
    </w:p>
    <w:p>
      <w:r>
        <w:t>À teneur de l’art. 31 OASA, lors de l’appréciation d’un cas d’extrême gravité,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w:t>
      </w:r>
    </w:p>
    <w:p>
      <w:r>
        <w:t>La jurisprudence développée au sujet des cas de rigueur selon le droit en vigueur jusqu’au 31 décembre 2007 (art. 13 let. f de l’ordonnance limitant le nombre des étrangers du 6 octobre 1986 - aOLE - RS 823.21) est toujours d’actualité pour les cas d’extrême gravité qui leur ont succédé.</w:t>
      </w:r>
    </w:p>
    <w:p>
      <w:r>
        <w:t>- 14/18 - A/456/2014</w:t>
      </w:r>
    </w:p>
    <w:p>
      <w:r>
        <w:t>Les dispositions dérogatoires des art. 30 LEtr et 31 OASA présentent un caractère exceptionnel et les conditions pour la reconnaissance d’une telle situation doivent être appréciées de manière restrictive (ATF 128 II 200 consid. 4 ; ATA/750/2011 précité ; ATA/531/2010 du 4 avril 2010).</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et 2A.429/2003 du 26 novembre 2003 consid. 3 ; ATA/750/2011 précité ; ATA/648/2009 du 8 décembre 2009 ; Alain WURZBURGER, La jurisprudence récente du Tribunal fédéral en matière de police des étrangers in RDAF I 1997 pp. 267 ss et les références citées).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15) En l’espèce, comme relevé ci-dessus, si certes l’intégration du recourant peut être qualifiée de satisfaisante, il n’a pas démontré avoir réalisé une intégration socioprofessionnelle exceptionnelle par rapport à la moyenne des étrangers qui ont passé autant d’années que lui en Suisse. En particulier, il n’établit pas avoir acquis, pendant son séjour à Genève, des connaissances et qualifications si spécifiques qu’il lui serait impossible de les mettre à profit ailleurs, notamment dans son pays d’origine.</w:t>
      </w:r>
    </w:p>
    <w:p>
      <w:r>
        <w:t>S’agissant de sa situation familiale, il convient de relever que le recourant ne démontre ni même n’allègue avoir de famille se trouvant en Suisse. En effet, aucun enfant n’est issu de son mariage avec Mme B______, mariage qui par ailleurs a été dissous le 18 juin 2009. De plus, le recourant ayant passé la plus grande partie de sa vie en Tunisie, il y a sans doute conservé des attaches socioculturelles importantes.</w:t>
      </w:r>
    </w:p>
    <w:p>
      <w:r>
        <w:t>- 15/18 - A/456/2014</w:t>
      </w:r>
    </w:p>
    <w:p>
      <w:r>
        <w:t>Au regard de ces circonstances, on ne saurait admettre que le recourant se trouve, au sens des dispositions légales et de la jurisprudence applicables, dans une situation d’extrême gravité qui justifierait de déroger aux conditions d’admission en Suisse et de lui accorder une autorisation de séjour. 16) 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(ATA/244/2012 du 24 avril 2012 ; ATA/750/2011 précité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17) En l’occurrence, si certes la Tunisie a connu ces dernières années des périodes de troubles sociaux et politiques faisant suite à la chute du gouvernement de l’ancien président Ben Ali ainsi que le soutient le recourant, on ne saurait toutefois considérer que le pays se trouve dans une situation de guerre civile ou de violence généralisée, le recourant ne démontrant pas à tout le moins qu’un retour dans son pays d’origine impliquerait un danger concret pour lui. Par ailleurs, un comité quadripartite tunisien a récemment été récompensé du prix Nobel de la paix pour sa contribution décisive en faveur de la démocratie après la Révolution de jasmin de 2011. Au demeurant, l’élection présidentielle de décembre 2014 a été généralement saluée par la presse comme s’étant déroulée dans le respect de la constitution et de la démocratie. Il apparaît ainsi que l’exécution du renvoi n’est pas contraire aux engagements internationaux de la Suisse. Le renvoi n’est dès lors pas impossible au sens de l’art. 83 LEtr. 18) Au regard de ce qui précède, le recours sera rejeté. 19) Vu l’issue du litige, un émolument de CHF 400.- sera mis à la charge du recourant qui succombe (art. 87 al. 1 LPA). Aucune indemnité de procédure ne lui sera allouée.</w:t>
      </w:r>
    </w:p>
    <w:p>
      <w:r>
        <w:t>- 16/18 - A/456/2014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