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ATA/1175/2017 vom 11. August 2017</w:t>
      </w:r>
    </w:p>
    <w:p>
      <w:r>
        <w:t>GE Cour de justice, 2017-08-11, FR</w:t>
      </w:r>
    </w:p>
    <w:p>
      <w:r>
        <w:rPr>
          <w:b/>
        </w:rPr>
        <w:t xml:space="preserve">Quelle: </w:t>
      </w:r>
      <w:r>
        <w:t>https://mcp.opencaselaw.ch/entscheid/ge_gerichte_ATA_1175_2017</w:t>
      </w:r>
    </w:p>
    <w:p>
      <w:r>
        <w:t>FR: GE_GERICHTE ATA/1175/2017 du 11 août 2017</w:t>
      </w:r>
    </w:p>
    <w:p>
      <w:r>
        <w:t>IT: GE_GERICHTE ATA/1175/2017 del 11 agosto 2017</w:t>
      </w:r>
    </w:p>
    <w:p>
      <w:pPr>
        <w:pStyle w:val="Heading2"/>
      </w:pPr>
      <w:r>
        <w:t>Erwägungen</w:t>
      </w:r>
    </w:p>
    <w:p>
      <w:r>
        <w:rPr>
          <w:b/>
        </w:rPr>
        <w:t>E. 20</w:t>
      </w:r>
    </w:p>
    <w:p>
      <w:r>
        <w:t>juillet 2017. Le contenu sera repris en tant que de besoin dans la présente décision. Considérant en droit : 1)</w:t>
      </w:r>
    </w:p>
    <w:p>
      <w:r>
        <w:t>Les décisions sur mesures provisionnelles sont prises par le président ou le vice-président de la chambre administrative ou, en cas d’empêchement de ceux-ci, par un autre juge (art. 21 al. 2 de la loi sur la procédure administrative du 12 septembre 1985 - LPA-GE - E 5 10 et art. 7 al. 1 du règlement interne de la chambre administrative du 26 septembre 2010).</w:t>
      </w:r>
    </w:p>
    <w:p>
      <w:r>
        <w:t>- 4/6 - A/1124/2017 2)</w:t>
      </w:r>
    </w:p>
    <w:p>
      <w:r>
        <w:t>Aux termes de l’art. 66 LPA,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3).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4)</w:t>
      </w:r>
    </w:p>
    <w:p>
      <w:r>
        <w:t>L'octroi de mesures provisionnelles présuppose l'urgence, à savoir que le refus de les ordonner crée pour l'intéressé la menace d'un dommage difficile à réparer (ATF 130 II 149 consid. 2.2 ; 127 II 132 consid. 3 = RDAF 2002 I 405). 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6)</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- 5/6 - A/1124/2017 7) a. Les rapports de service de la recourante sont régis notamment par la loi générale relative au personnel de l’administration cantonale et des établissements publics médicaux du 4 décembre 1997 (LPAC - B 5 05) et le règlement d’application de la loi générale relative au personnel de l’administration cantonale, du pouvoir judiciaire et des établissements publics médicaux du 24 février 1999 (RPAC - B 5 05.01).</w:t>
      </w:r>
    </w:p>
    <w:p>
      <w:r>
        <w:t>Aux termes de l’art. 12 LPAC, l’affectation d’un membre du personnel dépend des besoins de l’administration ou de l’établissement et peut être modifiée en tout temps. Un changement d’affectation ne peut entraîner de diminution de salaire. Sont réservés les cas individuels de changements d’affectation intervenant comme alternative à la résiliation des rapports de service au sens de l’art. 21 al. 3 LPAC.</w:t>
      </w:r>
    </w:p>
    <w:p>
      <w:r>
        <w:t>b. Tout changement d'affectation n'ouvre pas la voie d'un recours à l'autorité judiciaire. Un changement d'affectation d'un fonctionnaire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(ATF 108 Ib 419 consid. 2a p. 421). Il en va de même quand le changement d'affection représente une sanction déguisée et constitue de ce fait un acte attaquable (arrêt du Tribunal fédéral dans la cause 8D_1/2016 du 23 janvier 2017 consid. 5.2) et les références citées). 8)</w:t>
      </w:r>
    </w:p>
    <w:p>
      <w:r>
        <w:t>En l'espèce, la recourante prétend que le changement d'activité professionnelle constitue une sanction déguisée suite à sa demande de réévaluation de la fonction et allègue que ce changement ne répondrait pas à ses aptitudes.</w:t>
      </w:r>
    </w:p>
    <w:p>
      <w:r>
        <w:t>Au vu des pièces produites et des allégués des parties, il convient d’instruire le dossier, ne serait-ce que pour déterminer la recevabilité du recours vu ce qui précède.</w:t>
      </w:r>
    </w:p>
    <w:p>
      <w:r>
        <w:t>Toutefois, la recourante n’a pas contesté, dans sa réplique du 12 juillet 2017, les allégations de son employeur selon lesquelles sa nouvelle hiérarchie attestait que depuis l’arrivée de celle-là au SE, elle s’impliquait, suivait la formation interne dispensée et collaborait avec satisfaction tant avec ses collègues qu’avec sa hiérarchie. Selon l’intimé, un retrait de l’effet suspensif s’imposait en vue du maintien de l’état de fait et de la sauvegarde d’intérêts, qui risquaient d’être compromis.</w:t>
      </w:r>
    </w:p>
    <w:p>
      <w:r>
        <w:t>La recourante n’a pas non plus pris de conclusions sur cette requête de retrait d’effet suspensif dans sa réplique et ne s’est en conséquence pas opposée aux conclusions de son employeur sur ce point.</w:t>
      </w:r>
    </w:p>
    <w:p>
      <w:r>
        <w:t>En l’état, la recourante ne subit pas de diminution de traitement. 9)</w:t>
      </w:r>
    </w:p>
    <w:p>
      <w:r>
        <w:t>La demande de retrait de l'effet suspensif au recours sera dès lors admise, aucun intérêt privé prépondérant ne s’y opposant.</w:t>
      </w:r>
    </w:p>
    <w:p>
      <w:r>
        <w:t>- 6/6 - A/1124/2017</w:t>
      </w:r>
    </w:p>
    <w:p>
      <w:r>
        <w:t>Le sort des frais sera réservé jusqu'au prononcé de l'arrêt au fond, la recevabilité du recours étant toutefois réservée. LA CHAMBRE ADMINISTRATIVE retire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département de l'emploi, des affaires sociales et de la santé.</w:t>
      </w:r>
    </w:p>
    <w:p>
      <w:r>
        <w:t>La 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