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ATA/1174/2017 vom 10. August 2017</w:t>
      </w:r>
    </w:p>
    <w:p>
      <w:r>
        <w:t>GE Cour de justice, 2017-08-10, FR</w:t>
      </w:r>
    </w:p>
    <w:p>
      <w:r>
        <w:rPr>
          <w:b/>
        </w:rPr>
        <w:t xml:space="preserve">Quelle: </w:t>
      </w:r>
      <w:r>
        <w:t>https://mcp.opencaselaw.ch/entscheid/ge_gerichte_ATA_1174_2017</w:t>
      </w:r>
    </w:p>
    <w:p>
      <w:r>
        <w:t>FR: GE_GERICHTE ATA/1174/2017 du 10 août 2017</w:t>
      </w:r>
    </w:p>
    <w:p>
      <w:r>
        <w:t>IT: GE_GERICHTE ATA/1174/2017 del 10 agosto 2017</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Ayant reçu le recours le 2 août 2017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5) a. Après notification d'une décision de première instance de renvoi ou d'expulsion au sens de la LEtr ou une décision de première instance d'expulsion au sens des art. 66a ou 66abis du Code pénal suisse du 21 décembre 1937 (CP - RS 311.0) ou 49a ou 49abis du Code pénal militaire du 13 juin 1927 (CPM - RS 321.0), l'autorité compétente peut, afin d'en assurer l'exécution, notamment mettre en détention la personne concernée si elle a été condamné pour crime (art. 75 al. 1 let. h et 76 al. 1 let. b ch. 1 LEtr).</w:t>
      </w:r>
    </w:p>
    <w:p>
      <w:r>
        <w:t>b. La loi n’exige pas que la décision de renvoi ou d’expulsion soit définitive (ATF 140 II 409 consid. 2.3.4).</w:t>
      </w:r>
    </w:p>
    <w:p>
      <w:r>
        <w:t>En revanche, celle de condamnation doit l’être (Gregor CHATTON/ Laurent MERZ, in Minh Son NGUYEN/Cesla AMARELLE, Code annoté de droit des migrations, vol. II : loi sur les étrangers, 2017, n. 34 ad art. 75 LEtr).</w:t>
      </w:r>
    </w:p>
    <w:p>
      <w:r>
        <w:t>c. Selon l'art. 18 al. 1 du règlement sur l'exécution des peines privatives de liberté et des mesures concernant les adultes et les jeunes adultes du 19 mars 2014 (REPPL - E 4 55.05), l’OCPM est compétent pour prendre les dispositions de</w:t>
      </w:r>
    </w:p>
    <w:p>
      <w:r>
        <w:t>- 6/9 - A/3057/2017 mise en œuvre de l'expulsion prononcée par le juge pénal (art. 66a à 66b CP) ainsi que pour se prononcer sur le report de l'exécution de cette mesure (art. 66d CP). 6)</w:t>
      </w:r>
    </w:p>
    <w:p>
      <w:r>
        <w:t>En l’espèce, le jugement du Tribunal de police du 22 mai 2017 était définitif et exécutoire le 17 juillet 2017, date de l’ordre de mise en détention administrative.</w:t>
      </w:r>
    </w:p>
    <w:p>
      <w:r>
        <w:t>M. A______ ayant été condamné notamment pour une tentative de vol, infraction constitutive de crime, et faisant en outre l'objet d'une expulsion pénale d'une durée de cinq ans, c’est à juste titre que le TAPI a retenu que les conditions de la détention administrative au sens des art. 75 al. 1 let. h et 76 al. 1 let. b ch. 1 LEtr étaient réalisées.</w:t>
      </w:r>
    </w:p>
    <w:p>
      <w:r>
        <w:t>Le fait que les conditions pour une détention pour insoumission puissent éventuellement aussi être remplies est, en l’état, sans pertinence. 7)</w:t>
      </w:r>
    </w:p>
    <w:p>
      <w:r>
        <w:t>Dans un premier argument, le recourant se prévaut des documents établis le 7 juin 2017 par les autorités administratives genevoises pour considérer que son renvoi, ne peut s’effectuer que vers la France où il allègue avoir de la famille.</w:t>
      </w:r>
    </w:p>
    <w:p>
      <w:r>
        <w:t>a. Si l’étranger a la possibilité de se rendre légalement dans plusieurs États, l’autorité compétente peut le renvoyer ou l’expulser dans le pays de son choix (art. 69 al. 2 LEtr).</w:t>
      </w:r>
    </w:p>
    <w:p>
      <w:r>
        <w:t>Le renvoi dans un pays tiers du choix de l'étranger présuppose que ce dernier ait la possibilité de s'y rendre légalement et constitue, qui plus est, une faculté (« peut ») de l'autorité compétente (art. 69 al. 2 LEtr ; arrêts du Tribunal fédéral 2C_285/2013 du 23 avril 2013 ; 2C_393/2009 du 6 juillet 2009 consid. 3.4 ; 2C_206/2009 du 29 avril 2009 consid. 4.4 ; ATA/763/2014 du</w:t>
      </w:r>
    </w:p>
    <w:p>
      <w:r>
        <w:rPr>
          <w:b/>
        </w:rPr>
        <w:t>E. 30</w:t>
      </w:r>
    </w:p>
    <w:p>
      <w:r>
        <w:t>septembre 2014 consid. 8).</w:t>
      </w:r>
    </w:p>
    <w:p>
      <w:r>
        <w:t>b. En l’espèce, le recourant ne démontrant pas disposer de documents qui lui permettraient de se rendre en France, les conditions de l'art. 69 al. 2 LEtr ne sont pas réunies.</w:t>
      </w:r>
    </w:p>
    <w:p>
      <w:r>
        <w:t>Par ailleurs, selon les autorités françaises, le recourant ne détient aucune autorisation de séjourner en France, y compris sous l’identité de B______. Contrairement à ce que soutient l’intéressé, le questionnement desdites autorités étrangères a aussi été effectué sous le nom de B______, ce que les pièces du dossier prouvent.</w:t>
      </w:r>
    </w:p>
    <w:p>
      <w:r>
        <w:t>Enfin, le recourant ne peut déduire aucun droit des documents établis le 7 juin 2017 dès lors que l’intéressé se prévalait alors d’une fausse identité.</w:t>
      </w:r>
    </w:p>
    <w:p>
      <w:r>
        <w:t>Le grief est infondé.</w:t>
      </w:r>
    </w:p>
    <w:p>
      <w:r>
        <w:t>- 7/9 - A/3057/2017 8)</w:t>
      </w:r>
    </w:p>
    <w:p>
      <w:r>
        <w:t>Dans un second argument, le recourant invoque l’impossibilité de le renvoyer en Algérie au sens de l’art. 80 al. 6 let. a LEtr.</w:t>
      </w:r>
    </w:p>
    <w:p>
      <w:r>
        <w:t>a.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w:t>
      </w:r>
    </w:p>
    <w:p>
      <w:r>
        <w:t>b. En l’espèce, le recourant se limite à opposer sa propre interprétation du terme « impossible » à celle faite, de manière constante, par le Tribunal fédéral lequel a encore récemment rappelé que si l'Algérie n'acceptait effectivement pas le rapatriement de ses ressortissants par des vols spéciaux, les renvois sous la contrainte à destination de ce pays pouvaient être effectués sur des vols de ligne (arrêt du Tribunal fédéral 2C_47/2017 du 9 février 2017 consid. 5.4 et les références citées). Pour le surplus, dès lors que le recourant peut, sur une base volontaire, quitter la Suisse et rejoindre son État d'origine, l’argument est infondé. 9) a. 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En l’espèce, les autorités suisses compétentes ont entrepris en temps utile les démarches nécessaires auprès des autorités françaises puis algériennes en vue de l’exécution du renvoi. Le principe de célérité a donc été respecté. Dès lors qu’il peut s’écouler plusieurs semaines entre la saisine des autorités étrangères et la finalisation du dossier et au vu de l’ensemble des circonstances du cas d’espèce, le TAPI a retenu à juste titre que la durée de la détention administrative respectait le principe de la proportionnalité, aucune autre mesure moins incisive étant envisageable. 10) Au vu ce qui précède, le recours, infondé, sera rejeté.</w:t>
      </w:r>
    </w:p>
    <w:p>
      <w:r>
        <w:t>- 8/9 - A/3057/2017 11) Vu la nature du litige, il ne sera pas perçu d’émolument (art. 87 al. 1 LPA et 12 al. 1 al. 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