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ATA/116/2017 vom 8. Februar 2017</w:t>
      </w:r>
    </w:p>
    <w:p>
      <w:r>
        <w:t>GE Cour de justice, 2017-02-08, FR</w:t>
      </w:r>
    </w:p>
    <w:p>
      <w:r>
        <w:rPr>
          <w:b/>
        </w:rPr>
        <w:t xml:space="preserve">Quelle: </w:t>
      </w:r>
      <w:r>
        <w:t>https://mcp.opencaselaw.ch/entscheid/ge_gerichte_ATA_116_2017</w:t>
      </w:r>
    </w:p>
    <w:p>
      <w:r>
        <w:t>FR: GE_GERICHTE ATA/116/2017 du 8 février 2017</w:t>
      </w:r>
    </w:p>
    <w:p>
      <w:r>
        <w:t>IT: GE_GERICHTE ATA/116/2017 del 8 febbraio 2017</w:t>
      </w:r>
    </w:p>
    <w:p>
      <w:pPr>
        <w:pStyle w:val="Heading2"/>
      </w:pPr>
      <w:r>
        <w:t>Erwägungen</w:t>
      </w:r>
    </w:p>
    <w:p>
      <w:r>
        <w:rPr>
          <w:b/>
        </w:rPr>
        <w:t>E. 1</w:t>
      </w:r>
    </w:p>
    <w:p>
      <w:r>
        <w:t>Madame A______ est titulaire d’un brevet d’aptitude à l’enseignement primaire (division élémentaire) depuis le mois de juin 1984.</w:t>
      </w:r>
    </w:p>
    <w:p>
      <w:r>
        <w:t>Elle a été nommée par le Conseil d’État à la fonction d’institutrice dans la division élémentaire dès le 1er septembre 1985.</w:t>
      </w:r>
    </w:p>
    <w:p>
      <w:r>
        <w:t>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w:t>
      </w:r>
    </w:p>
    <w:p>
      <w:r>
        <w:t>Elle est aujourd’hui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w:t>
      </w:r>
    </w:p>
    <w:p>
      <w:r>
        <w:t>- 3/13 - A/4488/2016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t>- 4/13 - A/4488/2016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Une prolongation du délai aurait dû lui être accordée, au-delà du fait qu’il était absurde, inopportun et même illégal de mettre en place pareille modification du</w:t>
      </w:r>
    </w:p>
    <w:p>
      <w:r>
        <w:t>- 5/13 - A/4488/2016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w:t>
      </w:r>
    </w:p>
    <w:p>
      <w:r>
        <w:t>- 6/13 - A/4488/2016</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t>- 7/13 - A/4488/2016</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A/4488/2016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