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ATA/116/2014 vom 25. Februar 2014</w:t>
      </w:r>
    </w:p>
    <w:p>
      <w:r>
        <w:t>GE Cour de justice, 2014-02-25, FR</w:t>
      </w:r>
    </w:p>
    <w:p>
      <w:r>
        <w:rPr>
          <w:b/>
        </w:rPr>
        <w:t xml:space="preserve">Quelle: </w:t>
      </w:r>
      <w:r>
        <w:t>https://mcp.opencaselaw.ch/entscheid/ge_gerichte_ATA_116_2014</w:t>
      </w:r>
    </w:p>
    <w:p>
      <w:r>
        <w:t>FR: GE_GERICHTE ATA/116/2014 du 25 février 2014</w:t>
      </w:r>
    </w:p>
    <w:p>
      <w:r>
        <w:t>IT: GE_GERICHTE ATA/116/2014 del 25 febbraio 2014</w:t>
      </w:r>
    </w:p>
    <w:p>
      <w:pPr>
        <w:pStyle w:val="Heading2"/>
      </w:pPr>
      <w:r>
        <w:t>Erwägungen</w:t>
      </w:r>
    </w:p>
    <w:p>
      <w:r>
        <w:rPr>
          <w:b/>
        </w:rPr>
        <w:t>E. 26</w:t>
      </w:r>
    </w:p>
    <w:p>
      <w:r>
        <w:t>septembre 2010 - LOJ - E 2 05 ; art. 10 al. 1 de la loi d’application de la loi fédérale sur les étrangers du 16 juin 1988 - LaLEtr - F 2 10 ; art. 17 et 62 al. 1 let. b de la loi sur la procédure administrative du 12 septembre 1985 - LPA - E 5 10). 2)</w:t>
      </w:r>
    </w:p>
    <w:p>
      <w:r>
        <w:t>Selon l’art. 10 al. 2 LaLEtr, la chambre administrative doit statuer dans les dix jours qui suivent sa saisine. Le recours ayant été réceptionné le 17 février 2014, le délai de dix jours vient à échéance au plus tôt le 27 février 2014. En statuant ce jour, la chambre de céans respecte ce délai. 3)</w:t>
      </w:r>
    </w:p>
    <w:p>
      <w:r>
        <w:t>En matière de contrôle de la détention administrative, la chambre administrative est compétente pour apprécier l’opportunité des décisions portées</w:t>
      </w:r>
    </w:p>
    <w:p>
      <w:r>
        <w:t>- 7/10 - A/295/2014 devant elles (art. 10 a. 2 LaLEtr). Elle peut confirmer, réformer ou annuler la décision attaquée ; cas échéant, elle ordonne la mise en liberté de l’étranger. 4)</w:t>
      </w:r>
    </w:p>
    <w:p>
      <w:r>
        <w:t>A Genève, l’étranger détenu administrativement peut en tout temps demander sa mise en liberté auprès du TAPI (art. 115 al. 2 et 116 al. LOJ ; art. 7 al. 4 let. g LaLEtr). 5)</w:t>
      </w:r>
    </w:p>
    <w:p>
      <w:r>
        <w:t>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LEtr). 6)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w:t>
      </w:r>
    </w:p>
    <w:p>
      <w:r>
        <w:t>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ch. 1 et 75 al. 1 let. g et h LEtr).</w:t>
      </w:r>
    </w:p>
    <w:p>
      <w:r>
        <w:t>- 8/10 - A/295/2014 7)</w:t>
      </w:r>
    </w:p>
    <w:p>
      <w:r>
        <w:t>En l’espèce, sur la base du dossier qui lui était présenté par les parties et en fonction des déclarations du recourant, c’est à juste titre que le TAPI n’a pas remis en question la légalité des conditions de sa mise en détention administrative. En effet, tant le comportement du recourant, lequel, avant son incarcération consécutive à sa condamnation pénale, avait refusé de déférer aux convocations de l’autorité de police des étrangers chargée de son renvoi et s’était réfugié dans la clandestinité, que le flou qu’il a entretenu jusqu’au 6 février 2014 au sujet de sa nationalité véritable, suffisaient à démontrer le risque de fuite au sens des art. 76 al. 1 let. b ch. 3 et 4 LEtr.</w:t>
      </w:r>
    </w:p>
    <w:p>
      <w:r>
        <w:t>De plus, le recourant avait été condamné pour une infraction aggravée à l’art. 19 al. 1 et 2 LStup, soit un crime (art. 10 al. 2 du Code pénal suisse du 21 décembre 1937 - CP - RS 311.0), ce qui fondait un deuxième motif de maintien en détention administrative. 8)</w:t>
      </w:r>
    </w:p>
    <w:p>
      <w:r>
        <w:t>Le fait que le recourant ait décidé depuis peu d’admettre qu’il était ressortissant nigérian et qu’il ait de lui-même entrepris des démarches pour obtenir un laisser-passer ne permet pas d’apprécier différemment la situation juridique sous l’angle de la détention. L’existence d’une lourde peine pour un trafic de stupéfiants subsiste. Il en va de même du risque de fuite, si l’on se fonde sur le comportement antérieur du recourant, dont on peut encore craindre qu’il cherche à se soustraire à son renvoi s’il venait à être libéré. 9)</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27 décembre 2013. Les reproches d’inactivité qu’il adresse à l’autorité de police des étrangers chargée du renvoi sont injustifiés. Certes, une rencontre entre le recourant et une délégation représentant les autorités du Niger sous l’égide de l’ODM n’a pas été organisée immédiatement comme mentionné devant le TAPI, étant remplacée par une présentation de celui-là à la représentation diplomatique du Niger. Toutefois, dans la mesure où le recourant affirmait être de nationalité nigérienne, on ne peut reprocher à la BLMI d’avoir cherché à accélérer la procédure en organisant sur une base volontaire une rencontre du recourant avec les représentants de ce pays à Genève, pour permettre la reconnaissance rapide de la nationalité dont il se prévalait. Si la rencontre a tourné court, ce fait n’est pas imputable à l’autorité intimée mais au comportement du recourant lui- même, dont il se confirme aujourd’hui qu’il a jusque-là cherché à tromper ses interlocuteurs sur sa véritable nationalité. Aucun reproche d’inactivité ne peut être adressé aux autorités chargées du renvoi, lesquelles ont immédiatement réagi à la dernière volteface du recourant en lui réservant une place pour le mois de mars</w:t>
      </w:r>
    </w:p>
    <w:p>
      <w:r>
        <w:t>- 9/10 - A/295/2014 dans un avion pour le Nigéria, puisqu’il est assuré d’obtenir un laisser-passez pour ce pays.</w:t>
      </w:r>
    </w:p>
    <w:p>
      <w:r>
        <w:t>Pour le reste, la durée de la détention est, à ce stade de la procédure, bien inférieure à la durée légale maximale ordinaire de six mois de l’art. 79 al. 1 LEtr, laquelle est susceptible d’être prolongée de dix-huit mois aux conditions de l’art. 79 al. 2 LEtr. Il existe un intérêt public important à ce que tout soit mis en œuvre pour que la décision de renvoi soit exécutée et que le recourant quitte la Suisse. Vu les démarches restant à accomplir, la mesure contestée respecte également la garantie constitutionnelle précitée.</w:t>
      </w:r>
    </w:p>
    <w:p>
      <w:r>
        <w:t>Les principes de la célérité et de la proportionnalité ont ainsi été respectés. 10) Le recours sera rejeté.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