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ATA/1168/2020 vom 17. November 2020</w:t>
      </w:r>
    </w:p>
    <w:p>
      <w:r>
        <w:t>GE Cour de justice, 2020-11-17, FR</w:t>
      </w:r>
    </w:p>
    <w:p>
      <w:r>
        <w:rPr>
          <w:b/>
        </w:rPr>
        <w:t xml:space="preserve">Quelle: </w:t>
      </w:r>
      <w:r>
        <w:t>https://mcp.opencaselaw.ch/entscheid/ge_gerichte_ATA_1168_2020</w:t>
      </w:r>
    </w:p>
    <w:p>
      <w:r>
        <w:t>FR: GE_GERICHTE ATA/1168/2020 du 17 novembre 2020</w:t>
      </w:r>
    </w:p>
    <w:p>
      <w:r>
        <w:t>IT: GE_GERICHTE ATA/1168/2020 del 17 novembre 2020</w:t>
      </w:r>
    </w:p>
    <w:p>
      <w:pPr>
        <w:pStyle w:val="Heading2"/>
      </w:pPr>
      <w:r>
        <w:t>Regeste</w:t>
      </w:r>
    </w:p>
    <w:p>
      <w:r>
        <w:t>Résumé: Les recourants ne peuvent pas se prévaloir d'une dénonciation spontanée dans la mesure où une autorité fiscale avait procédé à un contrôle fiscal environ trois mois avant l'envoi de leur courrier à l'intimée. Leur dénonciation a été faite en raison de la crainte concrète de la découverte imminente de montants soustraits. Les recourants n'ont pas produit par pièces les charges commerciales alléguées si bien qu'ils doivent supporter les conséquences. Enfin, la quotité de l'amende fixée aux ¾ les impôts soustraits apparaît conforme et proportionnée à la faute commise et aux circonstances du cas d'espèce. Recours rejeté.</w:t>
      </w:r>
    </w:p>
    <w:p>
      <w:pPr>
        <w:pStyle w:val="Heading2"/>
      </w:pPr>
      <w:r>
        <w:t>Erwägungen</w:t>
      </w:r>
    </w:p>
    <w:p>
      <w:r>
        <w:rPr>
          <w:b/>
        </w:rPr>
        <w:t>E. 19</w:t>
      </w:r>
    </w:p>
    <w:p>
      <w:r>
        <w:t>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w:t>
      </w:r>
    </w:p>
    <w:p>
      <w:r>
        <w:t>Le caractère spontané fait défaut lorsque la déclaration intervient alors que les autorités fiscales sont déjà en train d'enquêter sur le dossier du contribuable (arrêt du Tribunal fédéral 2C_370/2019 précité 5.4.2 ; Pietro SANSONETTI/Danielle HOSTETTLER, in Yves NOËL/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w:t>
      </w:r>
    </w:p>
    <w:p>
      <w:r>
        <w:rPr>
          <w:b/>
        </w:rPr>
        <w:t>E. 22</w:t>
      </w:r>
    </w:p>
    <w:p>
      <w:r>
        <w:t>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ATA/1850/2019 du 20 décembre 2019 consid. 3b confirmé par arrêt du Tribunal fédéral 2C_133/2020 du 15 juillet 2020).</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w:t>
      </w:r>
    </w:p>
    <w:p>
      <w:r>
        <w:t>- 15/22 - A/2811/2019 l'autorité fiscale (Pietro SANSONETTI/Danielle HOSTETTLER, op. cit., ad art. 175 LIFD n. 48c p. 1997 ; ATA/1427/2019 du 24 septembre 2019 consid. 2a ; ATA/687/2013 du 15 octobre 2013 consid. 17e).</w:t>
      </w:r>
    </w:p>
    <w:p>
      <w:r>
        <w:t>c. La dénonciation spontanée doit comporter tous les éléments de revenus et de fortune non déclarés (ATA/687/2013 du 15 octobre 2013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4)</w:t>
      </w:r>
    </w:p>
    <w:p>
      <w:r>
        <w:t>En l'espèce, s'il est vrai que l'AFC-GE n'enquêtait pas sur les recourants au moment où ceux-ci lui ont écrit le 28 octobre 2014, force est de constater que tel n'était pas le cas d'une autre autorité fiscale, à savoir l'AFC-CH-TVA.</w:t>
      </w:r>
    </w:p>
    <w:p>
      <w:r>
        <w:t>En effet, selon les pièces du dossier, l'AFC-CH-TVA avait procédé à un contrôle fiscal de la SNC en date du 21 juillet 2014, soit environ trois mois avant le courrier des recourants du 28 octobre 2014. Ce contrôle avait révélé des revenus non comptabilisés.</w:t>
      </w:r>
    </w:p>
    <w:p>
      <w:r>
        <w:t>Bien que le contrôle de l'AFC-CH-TVA portât sur les années 2009 à 2013, le contexte ci-dessus exclut tout caractère spontané de la dénonciation des recourants du 28 octobre 2014, ceux-ci n'ayant d'autre possibilité que de porter à la connaissance de l'AFC-GE que « certains chiffres d'affaires de la SNC » n'avaient pas été déclarés.</w:t>
      </w:r>
    </w:p>
    <w:p>
      <w:r>
        <w:t>En outre, il n'est pas pertinent que le résultat de ce contrôle fiscal de l'AFC-CH-TVA n'ait été communiqué aux recourants qu'en 2015, dès lors que ce n'est qu'en raison de la crainte concrète de la découverte imminente de montants soustraits qu'ils ont écrit à l'AFC-GE le 28 octobre 2014.</w:t>
      </w:r>
    </w:p>
    <w:p>
      <w:r>
        <w:t>Au surplus, force est de constater que la procédure en rappel et soustraction, ainsi que la procédure en tentative de soustraction a porté sur les années 2004 à 2012 et 2013, si bien que ces périodes englobent bien les années 2009 à 2013 sur lesquelles portait le contrôle fiscal de l'AFC-CH-TVA.</w:t>
      </w:r>
    </w:p>
    <w:p>
      <w:r>
        <w:t>- 16/22 - A/2811/2019</w:t>
      </w:r>
    </w:p>
    <w:p>
      <w:r>
        <w:t>Il convient donc d'admettre que la dénonciation des recourants ne remplit pas l'une des conditions cumulatives d'impunissabilité prescrites par l'art. 175 al. 3 LIFD.</w:t>
      </w:r>
    </w:p>
    <w:p>
      <w:r>
        <w:t>Dans la mesure où la première condition cumulative n'est pas réalisée, il n'est pas nécessaire d'examiner les deux autres conditions, à savoir la question de la collaboration des recourants et de leurs efforts financiers pour s'acquitter du rappel d'impôt dû.</w:t>
      </w:r>
    </w:p>
    <w:p>
      <w:r>
        <w:t>Le grief est mal fondé. 5)</w:t>
      </w:r>
    </w:p>
    <w:p>
      <w:r>
        <w:t>Les recourants considèrent que dans la mesure où l'AFC-GE a retenu des chiffres d'affaires supplémentaires bruts, il convient de prendre en considération des charges commerciales fixées forfaitairement à 50 % à titre de déductions.</w:t>
      </w:r>
    </w:p>
    <w:p>
      <w:r>
        <w:t>a. Selon la jurisprudence, le rappel d'impôt n'équivaut pas à un nouvel examen complet de la taxation, mais ne porte que sur les points pour lesquels l'autorité fiscale dispose de nouveaux éléments. L'existence d'un rappel d'impôt ne saurait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w:t>
      </w:r>
    </w:p>
    <w:p>
      <w:r>
        <w:rPr>
          <w:b/>
        </w:rPr>
        <w:t>E. 26</w:t>
      </w:r>
    </w:p>
    <w:p>
      <w:r>
        <w:t>septembre 2008 consid. 5.3 ; ATA/74/2019 du 22 janvier 2019 consid. 5a).</w:t>
      </w:r>
    </w:p>
    <w:p>
      <w:r>
        <w:t>La question se pose toutefois de savoir si, pour pouvoir être pris en compte dans la procédure en rappel d'impôt, des faits diminuant la dette fiscale du contribuable doivent avoir une connexité avec les éléments justifiant le rappel. Ce point est controversé en doctrine. Certains auteurs jugent qu'il doit y avoir une connexité suffisante, d'autres qu'un tel élément n'est pas requis (arrêts du Tribunal fédéral 2C_123/2012 et 2C_124/2012 du 8 août 2012 consid. 7.3 ; 2A.300/2006 du 27 février 2007 consid. 3.3). Le Tribunal fédéral n’a pas tranché la question,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w:t>
      </w:r>
    </w:p>
    <w:p>
      <w:r>
        <w:t>b. Selon les art. 10 LIFD et 9 aLIPP-I, chaque associé d'une SNC, laquelle ne dispose pas de la personnalité juridique (Hugues SALOMÉ, in Yves NOËL/Florence AUBRY GIRARDIN [éd.], op.cit., ad art. 10 n. 1 et 2 p. 196), ajoute à ses propres éléments imposables sa part du revenu de la SNC.</w:t>
      </w:r>
    </w:p>
    <w:p>
      <w:r>
        <w:t>Sont imposables tous les revenus provenant de l’exploitation d’une entreprise commerciale, industrielle, artisanale, agricole ou sylvicole, de</w:t>
      </w:r>
    </w:p>
    <w:p>
      <w:r>
        <w:t>- 17/22 - A/2811/2019 l’exercice d’une profession libérale ou de toute autre activité lucrative indépendante (art. 18 al. 1 LIFD et 3 al. 1 1ère phr. aLIPP-IV).</w:t>
      </w:r>
    </w:p>
    <w:p>
      <w:r>
        <w:t>Aux termes des art. 27 al. 1 LIFD et 3 al. 3 aLIPP-V,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w:t>
      </w:r>
    </w:p>
    <w:p>
      <w:r>
        <w:t>Ainsi, ni la LIFD ni les aLIPP-IV et aLIPP-V ne prévoient de déductions forfaitaires pour les charges d'une entreprise commerciale.</w:t>
      </w:r>
    </w:p>
    <w:p>
      <w:r>
        <w:t>c. 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du Tribunal fédéral 2C_937/2019 du 8 juin 2020 consid. 6.2).</w:t>
      </w:r>
    </w:p>
    <w:p>
      <w:r>
        <w:t>Selon le principe de l'autorité du bilan commercial ou de déterminance (« Massgeblichkeitsprinzip »),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ATA/1834/2019 du 17 décembre 2019 consid. 4b).</w:t>
      </w:r>
    </w:p>
    <w:p>
      <w:r>
        <w:t>Le principe de déterminance déploie aussi un effet contraignant pour le contribuable. En effet, celui-ci est lié par son mode de comptabilisation et seules les écritures ressortant des comptes sont décisives (Robert DANON, in Yves NOËL/Florence AUBRY GIRARDIN [éd.],op. cit., ad art. 57-58 n.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w:t>
      </w:r>
    </w:p>
    <w:p>
      <w:r>
        <w:t>- 18/22 - A/2811/2019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w:t>
      </w:r>
    </w:p>
    <w:p>
      <w:r>
        <w:t>d. Aux termes des art. 126 al. 3 LIFD et 31 al. 3 LPFisc, les personnes physiques qui exercent une activité lucrative indépendante et les personnes morales doivent conserver pendant dix ans les documents et pièces justificatives en relation avec leur activité.</w:t>
      </w:r>
    </w:p>
    <w:p>
      <w:r>
        <w:t>e.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ATA/844/2020 du 1er septembre 2020 consid. 4a).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du 24 septembre 2019 consid. 6a).</w:t>
      </w:r>
    </w:p>
    <w:p>
      <w:r>
        <w:t>f.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2012, n. 11 p. 513).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n. 12 p. 514). 6)</w:t>
      </w:r>
    </w:p>
    <w:p>
      <w:r>
        <w:t>En l'occurrence et comme le relève l’AFC-GE, lors de l'envoi du courrier en octobre 2014 des recourants et lors de l'ouverture de la procédure en rappel et</w:t>
      </w:r>
    </w:p>
    <w:p>
      <w:r>
        <w:t>- 19/22 - A/2811/2019 soustraction d'impôt le 17 décembre 2014, le délai de dix ans prévu par les art. 126 al. 3 LIFD et 31 al. 3 LPFisc n'était pas encore échu.</w:t>
      </w:r>
    </w:p>
    <w:p>
      <w:r>
        <w:t>Les recourants devaient ainsi conserver les documents et pièces justificatives en relation avec l'activité de la SNC pour les années 2004 et suivantes, à savoir notamment les différentes factures émises par leurs sous-traitants afin que l'autorité fiscale puisse en tenir compte à titre de charges commerciales.</w:t>
      </w:r>
    </w:p>
    <w:p>
      <w:r>
        <w:t>Certaines des factures émises par ces sous-traitants ont d'ailleurs été produites par les recourants le 12 mai 2015, lesquelles concernaient les années 2005 et 2007. Dans la mesure où ces charges commerciales étaient attestées par pièces, l'AFC-GE les a bien prises en considération à titre de déductions.</w:t>
      </w:r>
    </w:p>
    <w:p>
      <w:r>
        <w:t>Les recourants n'ayant pas apporté la preuve des charges commerciales alléguées, ils doivent supporter les conséquences de l'échec de cette preuve, conformément à la jurisprudence précitée.</w:t>
      </w:r>
    </w:p>
    <w:p>
      <w:r>
        <w:t>Le même raisonnement s'applique concernant les encaissements et retraits d'argent effectués sur les comptes bancaires non déclarés qui auraient servi à payer les sous-traitants.</w:t>
      </w:r>
    </w:p>
    <w:p>
      <w:r>
        <w:t>Ainsi, la décision de l'AFC-GE de ne pas admettre de déductions forfaitaires pour les charges commerciales de la SNC, ainsi que les autres charges commerciales non prouvées par pièces, doit être confirmée. 7)</w:t>
      </w:r>
    </w:p>
    <w:p>
      <w:r>
        <w:t>Les recourants considèrent que la quotité de l'amende IFD et ICC 2007 pour soustraction d'impôt doit être fixée au minimum légal, soit au tiers du montant des droits éludés.</w:t>
      </w:r>
    </w:p>
    <w:p>
      <w:r>
        <w:t>a. La quotité de l'amende est, en général,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 ATA/1850/2019 précité consid. 5a).</w:t>
      </w:r>
    </w:p>
    <w:p>
      <w:r>
        <w:t>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- 20/22 - A/2811/2019</w:t>
      </w:r>
    </w:p>
    <w:p>
      <w:r>
        <w:t>La quotité précise de l'amende doit par ailleurs être fixée en tenant compte des dispositions de la partie générale du Code pénal suisse du 21 décembre 1937 (CP - 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s. p. 147 ss et les références citées ; arrêt du Tribunal fédéral 2C_41/2020 du 24 juin 2020 consid. 9.1).</w:t>
      </w:r>
    </w:p>
    <w:p>
      <w:r>
        <w:t>b.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(ATA/42/2011 du 25 janvier 2011 consid. 6 ; ATA/693/2009 du 22 décembre 2009 consid. 10a). 8)</w:t>
      </w:r>
    </w:p>
    <w:p>
      <w:r>
        <w:t>En l'espèce, l’AFC-GE a fixé les amendes aux trois quarts des impôts soustraits.</w:t>
      </w:r>
    </w:p>
    <w:p>
      <w:r>
        <w:t>Il ressort du dossier que les soustractions ont porté sur des montants importants (CHF 138'129.25 pour l'ICC 2007 et CHF 51'579.- pour l'IFD 2007). Le caractère intentionnel – à tout le moins par dol éventuel – de l'infraction et l'absence de toute dénonciation spontanée doivent également être pris en considération. Ces éléments pèsent en défaveur des recourants. Il y a cependant lieu de tenir compte, à leur décharge, de leur bonne collaboration durant la procédure de rappel d'impôt. Ils ont en effet et dans la mesure du possible fourni les documents demandés par l'AFC-GE. En outre, il doit également être tenu compte, en leur faveur, de l'ancienneté de l'infraction (arrêt du Tribunal fédéral 2C_78/2019 du 20 septembre 2019 consid. 9.4 ; art. 48 let. e CP ; ATA/1850/2019 précité consid. 5c), celle-ci remontant à 2007. Quant à la problématique de la situation économique des recourants, celle-ci peut en effet être prise en considération dans le cadre de la fixation de l'amende conformément à l'art. 106 al. 3 CP. Toutefois, au vu du caractère intentionnel de l'infraction, de l'absence de dénonciation spontanée et de l'importance des montants soustraits, la situation économique des recourants, au sujet de laquelle ils n'ont d'ailleurs produit aucun document, ne saurait contrebalancer ces circonstances aggravantes.</w:t>
      </w:r>
    </w:p>
    <w:p>
      <w:r>
        <w:t>Il ne faut en tout état de cause pas perdre de vue que, dans la mesure où elles respectent le cadre légal, les autorités fiscales cantonales disposent d'un large pouvoir d'appréciation lors de la fixation de l'amende, de sorte que la chambre de</w:t>
      </w:r>
    </w:p>
    <w:p>
      <w:r>
        <w:t>- 21/22 - A/2811/2019 céans n'intervient qu'en cas d'abus ou d'excès de celui-ci, ce qui n'est pas le cas en l'espèce.</w:t>
      </w:r>
    </w:p>
    <w:p>
      <w:r>
        <w:t>En conséquence, la fixation d'une amende aux trois quarts des impôts soustraits est conforme aux principes développés ci-dessus et proportionnée à la faute commise ainsi qu'aux circonstances du cas d'espèce.</w:t>
      </w:r>
    </w:p>
    <w:p>
      <w:r>
        <w:t>Le grief est mal fondé.</w:t>
      </w:r>
    </w:p>
    <w:p>
      <w:r>
        <w:t>Il s'ensuit que le recours sera rejeté. 9)</w:t>
      </w:r>
    </w:p>
    <w:p>
      <w:r>
        <w:t>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