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ATA/1167/2018 vom 1. November 2018</w:t>
      </w:r>
    </w:p>
    <w:p>
      <w:r>
        <w:t>GE Cour de justice, 2018-11-01, FR</w:t>
      </w:r>
    </w:p>
    <w:p>
      <w:r>
        <w:rPr>
          <w:b/>
        </w:rPr>
        <w:t xml:space="preserve">Quelle: </w:t>
      </w:r>
      <w:r>
        <w:t>https://mcp.opencaselaw.ch/entscheid/ge_gerichte_ATA_1167_2018</w:t>
      </w:r>
    </w:p>
    <w:p>
      <w:r>
        <w:t>FR: GE_GERICHTE ATA/1167/2018 du 1 novembre 2018</w:t>
      </w:r>
    </w:p>
    <w:p>
      <w:r>
        <w:t>IT: GE_GERICHTE ATA/1167/2018 del 1 novembre 2018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Exerçant son droit à la réplique le 17 octobre 2018, M. A______ a maintenu ses conclusions et leurs motivations.</w:t>
      </w:r>
    </w:p>
    <w:p>
      <w:r>
        <w:rPr>
          <w:b/>
        </w:rPr>
        <w:t>E. 13</w:t>
      </w:r>
    </w:p>
    <w:p>
      <w:r>
        <w:t>Sur quoi, la cause a été gardée à juger sur la question de l’effet suspensif. Considérant, en droit, que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