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ATA/1159/2018 vom 30. Oktober 2018</w:t>
      </w:r>
    </w:p>
    <w:p>
      <w:r>
        <w:t>GE Cour de justice, 2018-10-30, FR</w:t>
      </w:r>
    </w:p>
    <w:p>
      <w:r>
        <w:rPr>
          <w:b/>
        </w:rPr>
        <w:t xml:space="preserve">Quelle: </w:t>
      </w:r>
      <w:r>
        <w:t>https://mcp.opencaselaw.ch/entscheid/ge_gerichte_ATA_1159_2018</w:t>
      </w:r>
    </w:p>
    <w:p>
      <w:r>
        <w:t>FR: GE_GERICHTE ATA/1159/2018 du 30 octobre 2018</w:t>
      </w:r>
    </w:p>
    <w:p>
      <w:r>
        <w:t>IT: GE_GERICHTE ATA/1159/2018 del 30 ottobre 2018</w:t>
      </w:r>
    </w:p>
    <w:p>
      <w:pPr>
        <w:pStyle w:val="Heading2"/>
      </w:pPr>
      <w:r>
        <w:t>Regeste</w:t>
      </w:r>
    </w:p>
    <w:p>
      <w:r>
        <w:t>Résumé: Confirmation d'un jugement du Tribunal administratif de première instance dans lequel le recours d'un voisin contre une autorisation de construire a été déclaré irrecevable. La chambre administrative a estimé que la source des griefs du recourant, soit une situation dangereuse pour les usagers d'une contre-route, ne relèvent pas de la construction prévue mais d'une situation préexistante et partiellement également d'une situation provisoire liée à un chantier en cours sur les parcelles avoisinantes. Le recourant échoue ainsi à démontrer qu'il subirait un préjudice particulier lié à l'autorisation délivrée et qu'il aurait un intérêt personnel pratique qui se distinguerait nettement de l'intérêt général au recours.</w:t>
      </w:r>
    </w:p>
    <w:p>
      <w:pPr>
        <w:pStyle w:val="Heading2"/>
      </w:pPr>
      <w:r>
        <w:t>Erwägungen</w:t>
      </w:r>
    </w:p>
    <w:p>
      <w:r>
        <w:rPr>
          <w:b/>
        </w:rPr>
        <w:t>E. 12</w:t>
      </w:r>
    </w:p>
    <w:p>
      <w:r>
        <w:t>septembre 1985 - LPA - E 5 10).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w:t>
      </w:r>
    </w:p>
    <w:p>
      <w:r>
        <w:t>- 9/13 - A/2109/2017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w:t>
      </w:r>
    </w:p>
    <w:p>
      <w:r>
        <w:t>En l’espèce, la chambre administrative renonce, par une appréciation anticipée des preuves, à procéder à la mesure d’instruction demandée par le recourant. La chambre de céans a procédé à un transport sur place et a entendu un témoin, expert en sécurité routière et le dossier contient tous les éléments pertinents et utiles pour statuer, notamment une expertise produite par le recourant concernant la sécurité routière du quartier. 3)</w:t>
      </w:r>
    </w:p>
    <w:p>
      <w:r>
        <w:t>Le jugement du TAPI ayant déclaré irrecevable le recours contre l’autorisation de construire délivrée le 3 avril 2017 par le département à l’intimé, le litige devant la chambre de céans porte sur la question de la recevabilité dudit recours. 4)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(ATA/661/2018 du 26 juin 2018 consid. 3a ; ATA/1218/2015 du 10 novembre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(ATA/799/2018 du 7 août 2018 consid. 2a et l'arrêt cité ; Stéphane GRODECKI/Romain JORDAN, Code annoté de procédure administrative genevoise, 2017, p. 184 n. 698).</w:t>
      </w:r>
    </w:p>
    <w:p>
      <w:r>
        <w:t>b.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p. 45-46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w:t>
      </w:r>
    </w:p>
    <w:p>
      <w:r>
        <w:t>- 10/13 - A/2109/2017 (let. a), est particulièrement atteint par la décision ou l’acte normatif attaqué (let. b) et a un intérêt digne de protection à son annulation ou à sa modification (let. c).</w:t>
      </w:r>
    </w:p>
    <w:p>
      <w:r>
        <w:t>c. En ce qui concerne les voisins, seuls ceux dont les intérêts sont lésés de façon directe et spéciale ont l’intérêt particulier requis (ATF 133 II 409 consid. 1 p. 411 ss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p. 32 ss ; arrêt du Tribunal fédéral 1C_822/2013 du 4 janvier 2014 consid. 2.2 ; ATA/659/2018 du 26 juin 2018 consid. 4 ; concernant une personne qui va devenir voisine de la construction litigieuse : ATA/450/2008 du 2 septembre 2008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LAT). La qualité pour recourir peut être donnée en l’absence de voisinage direct, quand une distance relativement faible sépare l’immeuble des recourants de l’installation litigieuse (ATF 137 II 30 consid. 2.2.3 p. 33 ; arrêt du Tribunal fédéral 1C_346/2011 du 1er février 2012 publié in DEP 2012 p. 692 consid. 2.3 ; ATA/220/2013 du 9 avril 2013).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p. 32 ss ; arrêt du Tribunal fédéral 1C_343/2014 du 21 juillet 2014 consid. 2.2 ; Stéphane GRODECKI/Romain JORDAN, op. cit., p. 196 n. 744 ; Laurent PFEIFFER, op. cit, p. 93).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w:t>
      </w:r>
    </w:p>
    <w:p>
      <w:r>
        <w:t>d.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p. 219-220 ; arrêt du Tribunal fédéral 1C_170/2018 du 10 juillet 2018 consid. 4.1 ; ATA/450/2016</w:t>
      </w:r>
    </w:p>
    <w:p>
      <w:r>
        <w:t>- 11/13 - A/2109/2017 précité). Il importe peu, alors, que le nombre de personnes touchées soit considérable - dans le cas d’un aéroport ou d’un stand de tir, par exemple (ATF 124 II 293 consid. 3a p. 303-304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p. 388-389 ; RDAF 2007 I p. 426 = DEP 2006 p. 904).</w:t>
      </w:r>
    </w:p>
    <w:p>
      <w:r>
        <w:t>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ATA/251/2018 du 20 mars 2018 consid. 2c).</w:t>
      </w:r>
    </w:p>
    <w:p>
      <w:r>
        <w:t>Ainsi, il n’y a pas d’intérêt pratique au recours si la vraisemblance que le recourant subisse un préjudice n’est pas avérée ou hautement improbable (ATF 121 II 39 consid. 2c ; Laurent PFEIFFER, op. cit., p. 65).</w:t>
      </w:r>
    </w:p>
    <w:p>
      <w:r>
        <w:t>e. En l’espèce, le recourant allègue un danger accru pour les piétons et les autres usagers empruntant la contre-route passant devant la parcelle sur laquelle la construction litigieuse est projetée.</w:t>
      </w:r>
    </w:p>
    <w:p>
      <w:r>
        <w:t>Or, même s’il fallait admettre que le recourant soit touché plus que les autres usagers de la contre-route ou les autres habitants du quartier, ce qui n’est pas prouvé, les pièces figurant au dossier, notamment le photomontage de la construction et de ses abords, les plans, les constatations faites lors du transport sur place, les témoignages recueillis ainsi que le rapport d’expertise produit par le recourant lui-même, indiquent une situation pour les usagers qui ne sera pas péjorée par la construction autorisée, voire même améliorée sous certains aspects.</w:t>
      </w:r>
    </w:p>
    <w:p>
      <w:r>
        <w:t>En effet, bien qu’à ce jour, la sortie de véhicules sur la contre-route, à la hauteur de la parcelle litigieuse, n’existe pas, l’obstacle à la visibilité que constitue l’armoire Swisscom pour les véhicules s’engageant sur la contre-route depuis la route du Grand-Lancy sera déplacée à l’intérieur de la parcelle litigieuse ; le terrain devant la construction sera aplani, formant une esplanade à la</w:t>
      </w:r>
    </w:p>
    <w:p>
      <w:r>
        <w:t>- 12/13 - A/2109/2017 sortie du garage, avant la traversée du trottoir bordant la contre-route qui sera construit ; l’entrée sera dépourvue de portail afin de limiter la perte de visibilité et un mur de soutènement sera déplacé afin d’augmenter celle-ci. Finalement, des murs qui bordent actuellement la contre-route et contre lesquels des véhicules stationnent, empêchant le cheminement, seront enlevés, diminuant de fait les obstacles pour les piétons.</w:t>
      </w:r>
    </w:p>
    <w:p>
      <w:r>
        <w:t>À cela s’ajoute que concernant la situation dangereuse des routes du quartier, en général, qui n’est pas contestée, le rapport d’expert remis par le recourant lui-même n’identifie pas les endroits les plus problématiques le long de la contre-route mais le long du chemin de Pierre-Longue et au carrefour de celui- ci avec la contre-route. En outre, des mesures sont en cours d’adoption, comme le confirme le courrier du maire de la commune de Lancy du 26 avril 2018 au recourant, indiquant celles envisagées pour réduire la dangerosité, non seulement sur la contre-route mais également sur le chemin de Pierre-Longue. S’agissant d’ailleurs des mesures étudiées pour la contre-route, celles-ci rejoignent partiellement celles déjà prévues par le projet contesté, soit le recul de la végétation et la construction d’un trottoir franchissable devant un garage.</w:t>
      </w:r>
    </w:p>
    <w:p>
      <w:r>
        <w:t>En conséquence, il appert que la source des griefs du recourant ne relèvent pas de la construction prévue mais d’une situation préexistante et partiellement également d’une situation provisoire liée à un chantier en cours sur les parcelles avoisinantes. Il échoue ainsi à démontrer qu’il subirait un préjudice particulier lié à l’autorisation délivrée et qu’il aurait un intérêt personnel pratique qui se distinguerait nettement de l’intérêt général au recours.</w:t>
      </w:r>
    </w:p>
    <w:p>
      <w:r>
        <w:t>C’est donc à juste titre que le TAPI a jugé son recours contre l’autorisation de construire irrecevable et son recours devant la chambre de céans sera rejeté. 5)</w:t>
      </w:r>
    </w:p>
    <w:p>
      <w:r>
        <w:t>Vu l’issue du litige, un émolument de CHF 2’000.- comprenant les frais de témoin de CHF 742.15, sera mis à la charge du recourant (art. 87 al. 1 LPA). Une indemnité de procédure de CHF 1’500.- sera allouée à M. KALI,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