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ATA/1159/2017 vom 3. August 2017</w:t>
      </w:r>
    </w:p>
    <w:p>
      <w:r>
        <w:t>GE Cour de justice, 2017-08-03, FR</w:t>
      </w:r>
    </w:p>
    <w:p>
      <w:r>
        <w:rPr>
          <w:b/>
        </w:rPr>
        <w:t xml:space="preserve">Quelle: </w:t>
      </w:r>
      <w:r>
        <w:t>https://mcp.opencaselaw.ch/entscheid/ge_gerichte_ATA_1159_2017</w:t>
      </w:r>
    </w:p>
    <w:p>
      <w:r>
        <w:t>FR: GE_GERICHTE ATA/1159/2017 du 3 août 2017</w:t>
      </w:r>
    </w:p>
    <w:p>
      <w:r>
        <w:t>IT: GE_GERICHTE ATA/1159/2017 del 3 agosto 2017</w:t>
      </w:r>
    </w:p>
    <w:p>
      <w:pPr>
        <w:pStyle w:val="Heading2"/>
      </w:pPr>
      <w:r>
        <w:t>Erwägungen</w:t>
      </w:r>
    </w:p>
    <w:p>
      <w:r>
        <w:rPr>
          <w:b/>
        </w:rPr>
        <w:t>E. 29</w:t>
      </w:r>
    </w:p>
    <w:p>
      <w:r>
        <w:t>mars 2017 consid. 3.3) mais il ne pouvait le faire au seul titre de l’art. 75 al. 1 let. h LEtr. Cela est sans incidence dans le cas particulier dès lors que le motif de l’art. 75 al. 1 let. g, soit la menace grave pour l’intégrité corporelle de tiers pour laquelle une poursuite pénale était ouverte, était réalisée, de sorte qu’il est possible de substituer ce motif. Dès le 11 juillet 2017, le motif prévu par l’art. 75 al. 1 let. h était également réalisé. Ainsi, l’ordre de mise en détention repose sur une base légale. 7)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À teneur de l’art. 80 al. 6 let. a LEtr, la détention est levée si le motif de la détention n'existe plus ou l'exécution du renvoi ou de l'expulsion s'avère</w:t>
      </w:r>
    </w:p>
    <w:p>
      <w:r>
        <w:t>- 6/7 - A/2964/2017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8)</w:t>
      </w:r>
    </w:p>
    <w:p>
      <w:r>
        <w:t>En l’espèce, à rigueur de dossier, le seul État dans lequel le recourant peut être renvoyé est l’Algérie, sa tentative de se faire passer pour un ressortissant français devant la juridiction de céans sur la base d’un document dépourvu de force probante en raison de ses origines illicites, n’ayant réussi qu’à asseoir son absence de crédibilité comme de scrupules.</w:t>
      </w:r>
    </w:p>
    <w:p>
      <w:r>
        <w:t>Force est ainsi de constater que les autorités suisses compétentes ont entrepris en temps utile les démarches nécessaires auprès des autorités algériennes compétentes en vue de l’exécution du renvoi. Le principe de célérité a donc été respecté. Dès lors qu’il peut s’écouler plusieurs semaines entre la saisine des autorités étrangères et la finalisation du dossier et au vu de l’ensemble des circonstances du cas d’espèce, le TAPI a retenu à juste titre que la durée de la détention administrative respectait le principe de la proportionnalité, aucune autre mesure moins incisive étant envisageable.</w:t>
      </w:r>
    </w:p>
    <w:p>
      <w:r>
        <w:t>Enfin, aucun élément du dossier ne permet de retenir que l'exécution du renvoi ou de l'expulsion s'avèrerait impossible pour des raisons juridiques ou matérielles. 9)</w:t>
      </w:r>
    </w:p>
    <w:p>
      <w:r>
        <w:t>Au vu ce qui précède, le recours, infondé, sera rejeté. 10. Vu la nature du litige, il ne sera pas perçu d’émolument (art. 87 al. 1 LPA et 12 al. 1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