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ATA/1154/2023 vom 20. Oktober 2023</w:t>
      </w:r>
    </w:p>
    <w:p>
      <w:r>
        <w:t>GE Cour de justice, 2023-10-20, FR</w:t>
      </w:r>
    </w:p>
    <w:p>
      <w:r>
        <w:rPr>
          <w:b/>
        </w:rPr>
        <w:t xml:space="preserve">Quelle: </w:t>
      </w:r>
      <w:r>
        <w:t>https://mcp.opencaselaw.ch/entscheid/ge_gerichte_ATA_1154_2023</w:t>
      </w:r>
    </w:p>
    <w:p>
      <w:r>
        <w:t>FR: GE_GERICHTE ATA/1154/2023 du 20 octobre 2023</w:t>
      </w:r>
    </w:p>
    <w:p>
      <w:r>
        <w:t>IT: GE_GERICHTE ATA/1154/2023 del 20 ottobre 2023</w:t>
      </w:r>
    </w:p>
    <w:p>
      <w:pPr>
        <w:pStyle w:val="Heading2"/>
      </w:pPr>
      <w:r>
        <w:t>Erwägungen</w:t>
      </w:r>
    </w:p>
    <w:p>
      <w:r>
        <w:rPr>
          <w:b/>
        </w:rPr>
        <w:t>E. 1</w:t>
      </w:r>
    </w:p>
    <w:p>
      <w:r>
        <w:t>Le recours a été interjeté en temps utile devant la juridiction compétente (art. 38 al. 1, al. 2 let. a et al. 3 LSE ; art. 132 de la loi sur l'organisation judiciaire du 26 septembre 2010 - LOJ - E 2 05).</w:t>
      </w:r>
    </w:p>
    <w:p>
      <w:r>
        <w:rPr>
          <w:b/>
        </w:rPr>
        <w:t>E. 2</w:t>
      </w:r>
    </w:p>
    <w:p>
      <w:r>
        <w:t>L'autorité intimée conclut à l'irrecevabilité du recours dans la mesure où le « courrier » du 9 juin 2023 ne serait pas une décision attaquable.</w:t>
      </w:r>
    </w:p>
    <w:p>
      <w:r>
        <w:rPr>
          <w:b/>
        </w:rPr>
        <w:t>E. 2.1</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w:t>
      </w:r>
    </w:p>
    <w:p>
      <w:r>
        <w:rPr>
          <w:b/>
        </w:rPr>
        <w:t>E. 2.2</w:t>
      </w:r>
    </w:p>
    <w:p>
      <w:r>
        <w:t>Selon l'art. 4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 Constitue une décision finale, celle qui met un point final à la procédure, qu’il s’agisse d’une décision sur le fond ou d’une décision qui clôt l’affaire en raison d’un motif tiré des règles de la procédure (Pierre MOOR/Étienne POLTIER, Droit administratif, vol. 2, 3ème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w:t>
      </w:r>
    </w:p>
    <w:p>
      <w:r>
        <w:t>- 5/9 - A/2240/2023 décision finale (ATF 139 V 42 consid. 2.3 ; arrêts du Tribunal fédéral 2C_567/2016 et 2C_568/2016 du 10 août 2017 consid. 1.3). 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30 jours s’il s’agit d’une décision finale ou d’une décision en matière de compétence (let. a) et de dix jours s’il s’agit d’une autre décision (let. b). Enfin, les règles posées par la LPA ne sont pas applicables aux actes de portée purement interne à l’administration (art. 2 let. a LPA).</w:t>
      </w:r>
    </w:p>
    <w:p>
      <w:r>
        <w:rPr>
          <w:b/>
        </w:rPr>
        <w:t>E. 2.3</w:t>
      </w:r>
    </w:p>
    <w:p>
      <w:r>
        <w:t>Les décisions doivent être désignées comme telles, motivées et signées, et indiquer les voies et délais de recours (art. 46 al. 1 LPA). Une notification irrégulière ne peut entraîner aucun préjudice pour les parties (art. 47 LPA).</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(ATA/775/2021 du 27 juillet 2021 consid. 3a).</w:t>
      </w:r>
    </w:p>
    <w:p>
      <w:r>
        <w:t>De jurisprudence constante, l'absence de mention des voies de droit dans une décision constitue un vice formel qui rend sa notification irrégulière (ATF 125 V 65 consid. 4 ; Thierry TANQUEREL, Manuel de droit administratif, 2011. p. 314 n. 884 ; Pierre MOOR/Étienne POLTIER, Droit administratif, vol. II, 3ème éd., 2011, p. 349 n. 2.2.8.3). Ce vice formel est susceptible d'avoir pour effet non pas que la décision soit invalidée pour ce motif, mais que le délai de recours ne court pas ou doit être restitué (Thierry TANQUEREL, op. cit., p. 531 n. 1576).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w:t>
      </w:r>
    </w:p>
    <w:p>
      <w:r>
        <w:rPr>
          <w:b/>
        </w:rPr>
        <w:t>E. 2.4</w:t>
      </w:r>
    </w:p>
    <w:p>
      <w:r>
        <w:t>La LSE vise à régir, notamment, la location de services (let. a) et à protéger les travailleurs qui recourent à la location de services (let. c art. 1 LSE).</w:t>
      </w:r>
    </w:p>
    <w:p>
      <w:r>
        <w:t>- 6/9 - A/2240/2023 Les employeurs (bailleurs de services) qui font commerce de céder à des tiers (entreprises locataires de services) les services de travailleurs doivent avoir obtenu une autorisation de l’office cantonal du travail (art. 12 al. 1 LSE). L’OCE est compétent pour délivrer l’autorisation (art. 2 de la loi sur le service de l’emploi et la location de services du 18 septembre 1992 [LSELS - J 2 05] et 1 al. 1 de son règlement du 14 décembre 1992 [RSELS - J 2 05.01]).</w:t>
      </w:r>
    </w:p>
    <w:p>
      <w:r>
        <w:rPr>
          <w:b/>
        </w:rPr>
        <w:t>E. 2.5</w:t>
      </w:r>
    </w:p>
    <w:p>
      <w:r>
        <w:t>En l'espèce, le courrier du 9 juin 2023 ne contient pas les termes de décision ni l'indication d'une voie de recours.</w:t>
      </w:r>
    </w:p>
    <w:p>
      <w:r>
        <w:rPr>
          <w:b/>
        </w:rPr>
        <w:t>E. 2.5.1</w:t>
      </w:r>
    </w:p>
    <w:p>
      <w:r>
        <w:t>Certes, l'autorité intimée y indique considérer qu’après instruction du dossier, notamment l’audition de certains des livreurs de la recourante et les déterminations de celle-ci, « il appert qu’elle loue les services de ses livreurs à E______ et est ainsi une entreprise bailleresse de services. Par conséquent, [la société] doit être en possession d’une autorisation de pratiquer l’activité de location de service ». Il ressort toutefois également de ce courrier que cette autorité demande à la recourante de lui transmettre nombre de documents, une sûreté dont le montant n’est pas précisé et lui rappelle plusieurs exigences et indications concernant notamment la personne responsable de la société et la nomination d'un organe de révision. Elle indique que les documents exigés doivent être joints à la demande d'autorisation figurant en annexe. L'autorité intimée mentionne également qu'il est préférable de lui soumettre au préalable le but social que la société propose d'inscrire au registre du commerce auprès duquel le nom du responsable devra également être inscrit.</w:t>
      </w:r>
    </w:p>
    <w:p>
      <w:r>
        <w:t>Le document litigieux ne contient aucune sanction pour le cas où la recourante ne se plierait pas aux demandes y formulées, en particulier si elle s'abstenait de déposer la demande d'autorisation requise. Il est uniquement précisé que « passé ce délai, sans dossier complet de votre part, le service précité rendra une décision qui pourrait être assortie du retrait de l’effet suspensif ».</w:t>
      </w:r>
    </w:p>
    <w:p>
      <w:r>
        <w:t>Ainsi, le courrier litigieux ne modifie pas la situation juridique de la recourante.</w:t>
      </w:r>
    </w:p>
    <w:p>
      <w:r>
        <w:rPr>
          <w:b/>
        </w:rPr>
        <w:t>E. 2.5.2</w:t>
      </w:r>
    </w:p>
    <w:p>
      <w:r>
        <w:t>Dans un précédent arrêt de la chambre de céans (ATA/606/2022 du 7 juin 2022), la question s’était posée de savoir si un courrier, quasiment similaire, constatait l'étendue de faits fondant la demande de dépôt d'une autorisation. La question avait été laissée indécise dès lors que, quand bien même le courrier attaqué laissait entendre que l'OCE pourrait soumettre à autorisation l'activité de la recourante, il avait expressément indiqué avoir pris note des explications et de la position de la recourante et entendre rendre une décision formelle et motivée sujette à recours quant à son assujettissement à la LSE. Par ailleurs et en amont, il apparaissait que l'instruction de la cause devait se faire par l'OCE, y compris et cas échéant en procédant à l'audition de la représentante de la société, sur la base</w:t>
      </w:r>
    </w:p>
    <w:p>
      <w:r>
        <w:t>- 7/9 - A/2240/2023 en particulier des contrats dont elle avait l'usage, et non pas d'emblée devant l'instance de recours. En l’espèce, dans ses écritures responsives, l’OCE a relevé que le courrier querellé constituait un courrier type. Il a confirmé, à l’instar du cas précité, avoir pris bonne note des arguments avancés par la société, du fait qu’elle considérait ne pas exercer d’activité soumise à autorisation et qu’elle n’entendait pas déposer de demande. Si, certes, une instruction a déjà eu lieu, rien n’indique qu’elle est forcément terminée ou que l’autorité ne souhaitera pas procéder à de nouvelles auditions, notamment du responsable de l’entreprise ou de l’autre personne dont l’audition a été demandée devant la chambre de céans, avant de rendre une décision. Il n’est dès lors pas établi que l’instruction soit terminée. De surcroît, le courrier ne remplit pas les conditions d’une décision constatatoire. Il ne contient ni motivation ni même les faits que l’autorité aurait considérés comme pertinents. En cas de soumission de la société à la LSE, une décision formatrice sera rendue, contre laquelle la société pourra recourir. Elle aura de même l’occasion de développer ses arguments dans le cadre du dépôt de la requête pour préciser les motifs pour lesquels elle estime ne pas remplir les conditions de la location de services. Dans ces circonstances, faute de décision attaquable au sens de l'art. 4 al. 1 LPA, le recours sera déclaré irrecevable.</w:t>
      </w:r>
    </w:p>
    <w:p>
      <w:r>
        <w:rPr>
          <w:b/>
        </w:rPr>
        <w:t>E. 3</w:t>
      </w:r>
    </w:p>
    <w:p>
      <w:r>
        <w:t>Vu l’issue du litige, un émolument de CHF 1’000.- sera mis à la charge de la société (art. 87 a.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