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ATA/1153/2025 vom 20. Oktober 2025</w:t>
      </w:r>
    </w:p>
    <w:p>
      <w:r>
        <w:t>GE Cour de justice, 2025-10-20, FR</w:t>
      </w:r>
    </w:p>
    <w:p>
      <w:r>
        <w:rPr>
          <w:b/>
        </w:rPr>
        <w:t xml:space="preserve">Quelle: </w:t>
      </w:r>
      <w:r>
        <w:t>https://mcp.opencaselaw.ch/entscheid/ge_gerichte_ATA_1153_2025</w:t>
      </w:r>
    </w:p>
    <w:p>
      <w:r>
        <w:t>FR: GE_GERICHTE ATA/1153/2025 du 20 octobre 2025</w:t>
      </w:r>
    </w:p>
    <w:p>
      <w:r>
        <w:t>IT: GE_GERICHTE ATA/1153/2025 del 20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Même s'il n'a pas pris de conclusions formelles, on comprend que le recourant conteste la sanction de 30 jours de suppression de multimédia prononcée le</w:t>
      </w:r>
    </w:p>
    <w:p>
      <w:r>
        <w:rPr>
          <w:b/>
        </w:rPr>
        <w:t>E. 2.1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3e éd., 2011, p. 142 à 145 et la jurisprudence citée).</w:t>
      </w:r>
    </w:p>
    <w:p>
      <w:r>
        <w:rPr>
          <w:b/>
        </w:rPr>
        <w:t>E. 2.2</w:t>
      </w:r>
    </w:p>
    <w:p>
      <w:r>
        <w:t>Selon l'art. 67 du règlement de l'établissement de Curabilis du 19 mars 2014 (RCurabilis - F 1 50.15), la personne détenue a l’obligation de respecter les dispositions du RCurabilis, les directives du directeur général de l’office cantonal de la détention, du directeur de Curabilis, du personnel pénitentiaire ainsi que les instructions du personnel médico‑soignant. À teneur de l’art. 69 al. 1 RCurabilis, sont en particulier interdits l’insubordination et les incivilités à l’encontre du personnel de Curabilis (let. b) et d’une façon générale, le fait d’adopter un comportement contraire au but de Curabilis (let. n).</w:t>
      </w:r>
    </w:p>
    <w:p>
      <w:r>
        <w:rPr>
          <w:b/>
        </w:rPr>
        <w:t>E. 2.3</w:t>
      </w:r>
    </w:p>
    <w:p>
      <w:r>
        <w:t>Si une personne détenue enfreint le RCurabilis, une sanction proportionnée à sa faute, ainsi qu’à la nature et à la gravité de l’infraction, lui est infligée (art. 70 al. 1 RCurabilis). Il est tenu compte de l’état de santé de la personne détenue au moment de l’infraction disciplinaire (art. 70 al. 2 RCurabilis). Selon l’art. 70 al. 4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Ces sanctions peuvent être cumulées (art. 70 al. 5 RCurabilis). L’exécution de la sanction peut être prononcée avec un sursis ou un sursis partiel de six mois au maximum (art. 70 al. 6 RCurabilis).</w:t>
      </w:r>
    </w:p>
    <w:p>
      <w:r>
        <w:rPr>
          <w:b/>
        </w:rPr>
        <w:t>E. 2.4</w:t>
      </w:r>
    </w:p>
    <w:p>
      <w:r>
        <w:t>Le directeur de Curabilis et son suppléant en son absence sont compétents pour prononcer les sanctions (art. 71 al. 1 RCurabilis). Le directeur de Curabilis peut déléguer la compétence de prononcer les sanctions prévues à l’art. 70 al. 4 RCurabilis à d’autres membres du personnel gradé de l’établissement, les modalités de la délégation étant prévues dans une directive interne (art. 71</w:t>
      </w:r>
    </w:p>
    <w:p>
      <w:r>
        <w:t>- 4/6 - A/2500/2025 al. 2 RCurabilis). La chambre administrative a jugé qu’une sanction prise par un agent pénitentiaire ayant le grade de sous-chef auquel le directeur de Curabilis avait délégué la tâche de statuer était valablement prononcée par une autorité compétente (ATA/1598/2019 du 29 octobre 2019 consid. 2d et la référence citée).</w:t>
      </w:r>
    </w:p>
    <w:p>
      <w:r>
        <w:rPr>
          <w:b/>
        </w:rPr>
        <w:t>E. 2.5</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(ATA/284/2020 précité consid. 4d et la référence citée). En matière de sanctions disciplinaires, l’autorité dispose d’un large pouvoir d’appréciation, le pouvoir d’examen de la chambre administrative se limitant à l’excès ou l’abus de ce pouvoir d’appréciation (art. 61 al. 2 LPA ; ATA/97/2020 du 28 janvier 2020 consid. 4f et les références citées).</w:t>
      </w:r>
    </w:p>
    <w:p>
      <w:r>
        <w:rPr>
          <w:b/>
        </w:rPr>
        <w:t>E. 2.6</w:t>
      </w:r>
    </w:p>
    <w:p>
      <w:r>
        <w:t>De jurisprudence constante, la chambre de céans accorde généralement valeur probante aux constatations figurant dans un rapport de police, établi par des agents assermentés sauf si des éléments permettent de s’en écarter (ATA/719/2021 du</w:t>
      </w:r>
    </w:p>
    <w:p>
      <w:r>
        <w:rPr>
          <w:b/>
        </w:rPr>
        <w:t>E. 2.7</w:t>
      </w:r>
    </w:p>
    <w:p>
      <w:r>
        <w:t>En l’espèce, il ressort de la décision de sanction querellée que le recourant détenait une console de jeux pendant sa période de sanction du 27 juin 2025. Il savait pertinemment qu'il faisait l'objet d'une telle sanction et qu'elle était directement exécutoire malgré le recours formé à son encontre. Aussi, quel que soit le motif allégué, en se trouvant en possession d'une console de jeux le 2 juillet dernier, il a violé la décision précitée. Les éléments constitutifs d’une violation des art. 69 let. b et n RCurabilis sont donc réalisés. Il s’ensuit que le principe d’une sanction pour les faits du 27 juin 2025 est fondé.</w:t>
      </w:r>
    </w:p>
    <w:p>
      <w:r>
        <w:rPr>
          <w:b/>
        </w:rPr>
        <w:t>E. 2.8</w:t>
      </w:r>
    </w:p>
    <w:p>
      <w:r>
        <w:t>Reste à déterminer si la sanction disciplinaire infligée est conforme au principe de la proportionnalité. Elle consiste en 30 jours de suppression du multimédia. La sanction de privation du multimédia est la plus légère après l’avertissement. Le recourant a de nombreux antécédents et il s'agit d'une récidive. Elle apparaît ainsi apte et nécessaire pour garantir le respect des buts poursuivis par le droit disciplinaire et pour éviter qu'un tel comportement se reproduise. Le principe de la proportionnalité est en conséquence respecté. Il découle de ce qui précède que le recours sera rejeté.</w:t>
      </w:r>
    </w:p>
    <w:p>
      <w:r>
        <w:t>- 5/6 - A/2500/2025 3. Au vu de la nature du litige, il ne sera pas perçu d’émolument (art. 87 al. 1 LPA) et il ne sera pas alloué d’indemnité de procédure (art. 87 al. 2 LPA).</w:t>
      </w:r>
    </w:p>
    <w:p>
      <w:r>
        <w:t>* * * * *</w:t>
      </w:r>
    </w:p>
    <w:p>
      <w:r>
        <w:rPr>
          <w:b/>
        </w:rPr>
        <w:t>E. 3</w:t>
      </w:r>
    </w:p>
    <w:p>
      <w:r>
        <w:t>juillet 2025.</w:t>
      </w:r>
    </w:p>
    <w:p>
      <w:r>
        <w:rPr>
          <w:b/>
        </w:rPr>
        <w:t>E. 6</w:t>
      </w:r>
    </w:p>
    <w:p>
      <w:r>
        <w:t>juillet 2021 consid. 2d ; ATA/1339/2018 du 11 décembre 2018 et les arrêts cités). Dès lors que les agents de détention sont également des fonctionnaires assermentés (art. 7 de la loi sur l’organisation des établissements et le statut du personnel pénitentiaire du 3 novembre 2016 - LOPP - F 1 50), le même raisonnement peut être appliqué aux rapports établis par ces derniers (ATA/36/2019 du 15 janvier 2019 ; ATA/1242/2018 du 20 novembre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