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ATA/1153/2020 vom 17. November 2020</w:t>
      </w:r>
    </w:p>
    <w:p>
      <w:r>
        <w:t>GE Cour de justice, 2020-11-17, FR</w:t>
      </w:r>
    </w:p>
    <w:p>
      <w:r>
        <w:rPr>
          <w:b/>
        </w:rPr>
        <w:t xml:space="preserve">Quelle: </w:t>
      </w:r>
      <w:r>
        <w:t>https://mcp.opencaselaw.ch/entscheid/ge_gerichte_ATA_1153_2020</w:t>
      </w:r>
    </w:p>
    <w:p>
      <w:r>
        <w:t>FR: GE_GERICHTE ATA/1153/2020 du 17 novembre 2020</w:t>
      </w:r>
    </w:p>
    <w:p>
      <w:r>
        <w:t>IT: GE_GERICHTE ATA/1153/2020 del 17 novembre 2020</w:t>
      </w:r>
    </w:p>
    <w:p>
      <w:pPr>
        <w:pStyle w:val="Heading2"/>
      </w:pPr>
      <w:r>
        <w:t>Regeste</w:t>
      </w:r>
    </w:p>
    <w:p>
      <w:r>
        <w:t>Résumé: Opinion séparée</w:t>
      </w:r>
    </w:p>
    <w:p>
      <w:pPr>
        <w:pStyle w:val="Heading2"/>
      </w:pPr>
      <w:r>
        <w:t>Erwägungen</w:t>
      </w:r>
    </w:p>
    <w:p>
      <w:r>
        <w:rPr>
          <w:b/>
        </w:rPr>
        <w:t>E. 6</w:t>
      </w:r>
    </w:p>
    <w:p>
      <w:r>
        <w:t>octobre 2010 consid. 2.2; 2C_82/2010 du 6 mai 2010 consid. 4). La liberté économique comprend également le droit de faire de la publicité (ATF 128 I 295 consid. 5b ; 123 I 201 consid. 2b).</w:t>
      </w:r>
    </w:p>
    <w:p>
      <w:r>
        <w:t>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 En rapport avec l'exercice de la prostitution, sont autorisées les mesures de police ou de politique sociale, de même que les mesures dictées par la réalisation d'autres intérêts publics, à l'exclusion des mesures de politique économique (arrêt du Tribunal fédéral 2C_793/2014 du 24 avril 2015 consid. 4. 1). Partant, seuls peuvent être réprimés certains excès et manifestations secondaires de cette activité lucrative ; une loi ne saurait poursuivre le but d'éradiquer ou de limiter la prostitution en tant que telle (ATF 137 I 167 consid. 3.1 ; 101 Ia 473 consid. 2a ; arrêt du Tribunal fédéral 2C_905/2008 du 10 février 2009 consid. 7.3).</w:t>
      </w:r>
    </w:p>
    <w:p>
      <w:r>
        <w:t>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 ; 2C_793/2014 précité consid. 4.1 ; 2C_990/2012 du 7 mai 2013 consid. 6.1).</w:t>
      </w:r>
    </w:p>
    <w:p>
      <w:r>
        <w:t>b. En l’espèce, l'interdiction litigieuse repose sur une base légale formelle, à savoir l'art. 9 al. 1 LPR. À teneur de l’art. 1 LPR, cette loi a pour but de régler l’emploi des procédés de réclame, afin d’assurer la sécurité routière, la protection des sites et l’esthétique des lieux, ainsi que l’ordre public, objectifs qui tous relèvent d’un intérêt public évident autorisant une restriction de la liberté économique (art. 36 al. 2. Cst.).</w:t>
      </w:r>
    </w:p>
    <w:p>
      <w:r>
        <w:t>- 11/14 - A/4223/2019</w:t>
      </w:r>
    </w:p>
    <w:p>
      <w:r>
        <w:t>Quant à la proportionnalité, le refus d’autoriser le placardage des affiches est la seule mesure apte à atteindre le but recherché eu égard au contenu proposé, et à ses effets attendus sur la population. En outre, l’atteinte à la liberté de la recourante est limitée, celle-ci disposant d’autres moyens de communication pour faire la publicité du salon de services de prostitution qu’elle exploite.</w:t>
      </w:r>
    </w:p>
    <w:p>
      <w:r>
        <w:t>Le grief sera écarté.</w:t>
      </w:r>
    </w:p>
    <w:p>
      <w:r>
        <w:t>Entièrement mal fondé, le recours sera rejeté. 8)</w:t>
      </w:r>
    </w:p>
    <w:p>
      <w:r>
        <w:t>Un émolument de CHF 1’500.-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