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ATA/1153/2019 vom 19. Juli 2019</w:t>
      </w:r>
    </w:p>
    <w:p>
      <w:r>
        <w:t>GE Cour de justice, 2019-07-19, FR</w:t>
      </w:r>
    </w:p>
    <w:p>
      <w:r>
        <w:rPr>
          <w:b/>
        </w:rPr>
        <w:t xml:space="preserve">Quelle: </w:t>
      </w:r>
      <w:r>
        <w:t>https://mcp.opencaselaw.ch/entscheid/ge_gerichte_ATA_1153_2019</w:t>
      </w:r>
    </w:p>
    <w:p>
      <w:r>
        <w:t>FR: GE_GERICHTE ATA/1153/2019 du 19 juillet 2019</w:t>
      </w:r>
    </w:p>
    <w:p>
      <w:r>
        <w:t>IT: GE_GERICHTE ATA/1153/2019 del 19 luglio 2019</w:t>
      </w:r>
    </w:p>
    <w:p>
      <w:pPr>
        <w:pStyle w:val="Heading2"/>
      </w:pPr>
      <w:r>
        <w:t>Erwägungen</w:t>
      </w:r>
    </w:p>
    <w:p>
      <w:r>
        <w:rPr>
          <w:b/>
        </w:rPr>
        <w:t>E. 30</w:t>
      </w:r>
    </w:p>
    <w:p>
      <w:r>
        <w:t>janvier 2018 consid. 3a ; ATA/1477/2017 du 14 novembre 2017 consid. 3b ; ATA/1207/2017 du 22 août 2017 consid. 2b et les arrêts cités).</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w:t>
      </w:r>
    </w:p>
    <w:p>
      <w:r>
        <w:t>- 4/6 - A/3066/2018 (ATA/184/2019 du 26 février 2019 consid. 3c ; ATA/916/2015 du 8 septembre 2015 consid 2c ; ATA/881/2010 du 14 décembre 2010 consid. 4a).</w:t>
      </w:r>
    </w:p>
    <w:p>
      <w:r>
        <w:t>b. De manière générale, la sanction du non-respect d’un délai de procédure n’est pas constitutive de formalisme excessif – lequel est prohibé par l’art. 29 al. 1 de la Constitution fédérale de la Confédération suisse du 18 avril 1999 (Cst. - RS 101) –,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 2C_250/2009 du 2 juin 2009 consid. 5.1).</w:t>
      </w:r>
    </w:p>
    <w:p>
      <w:r>
        <w:t>c.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Ne peut prétendre à être traité conformément aux règles de la bonne foi que celui qui n’a pas lui-même violé ce principe de manière significative. On ne saurait ainsi admettre qu’un justiciable se prévale de son propre comportement déloyal et contradictoire (arrêt du Tribunal fédéral 2A.52/2003 du 23 janvier 2004 consid. 5.2, traduit in RDAF 2005 II 109 ss, spéc. 120 ; ATA/112/2018 du 6 février 2018 consid. 4 ; ATA/1004/2015 du 29 septembre 2015 consid. 6d ; Thierry TANQUEREL, Manuel de droit administratif, 2018, n. 580).</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Le principe de la confiance</w:t>
      </w:r>
    </w:p>
    <w:p>
      <w:r>
        <w:t>- 5/6 - A/3066/2018 est toutefois un élément à prendre en considération et non un facteur donnant en tant que tel naissance à un droit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 3)</w:t>
      </w:r>
    </w:p>
    <w:p>
      <w:r>
        <w:t>En l’espèce, en recevant la lettre du TAPI du 17 septembre 2018 lui impartissant un délai au 16 novembre 2018 pour verser l’avance de frais, le recourant n’avait aucune raison de ne pas se fier à cette indication, sans être tenu d’en vérifier l’exactitude dans la facture annexée, dans laquelle il allègue de manière plausible ne pas avoir remarqué avant le 2 novembre 2018 le délai fixé au 17 octobre 2018.</w:t>
      </w:r>
    </w:p>
    <w:p>
      <w:r>
        <w:t>Ces deux délais contradictoires proviennent d’une inadvertance de la part du TAPI.</w:t>
      </w:r>
    </w:p>
    <w:p>
      <w:r>
        <w:t>L’intéressé s’est acquitté de l’avance de frais requise dans le délai qu’il pouvait de bonne foi considérer comme exact.</w:t>
      </w:r>
    </w:p>
    <w:p>
      <w:r>
        <w:t>Il doit donc être considéré qu’il a respecté le délai de paiement, et c’est à tort que son recours a été déclaré irrecevable par le TAPI.</w:t>
      </w:r>
    </w:p>
    <w:p>
      <w:r>
        <w:t>Le recours sera par conséquent admis, le jugement entrepris annulé et la cause renvoyée au TAPI pour qu’il procède à l’instruction de celle-ci. 4)</w:t>
      </w:r>
    </w:p>
    <w:p>
      <w:r>
        <w:t>Vu l’issue du litige, aucun émolument ne sera perçu (art. 87 al. 1 LPA). Aucune indemnité de procédure ne sera allouée au recourant, qui n’y a pas conclu et n’est pas représenté par 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