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ATA/114/2018 vom 6. Februar 2018</w:t>
      </w:r>
    </w:p>
    <w:p>
      <w:r>
        <w:t>GE Cour de justice, 2018-02-06, FR</w:t>
      </w:r>
    </w:p>
    <w:p>
      <w:r>
        <w:rPr>
          <w:b/>
        </w:rPr>
        <w:t xml:space="preserve">Quelle: </w:t>
      </w:r>
      <w:r>
        <w:t>https://mcp.opencaselaw.ch/entscheid/ge_gerichte_ATA_114_2018</w:t>
      </w:r>
    </w:p>
    <w:p>
      <w:r>
        <w:t>FR: GE_GERICHTE ATA/114/2018 du 6 février 2018</w:t>
      </w:r>
    </w:p>
    <w:p>
      <w:r>
        <w:t>IT: GE_GERICHTE ATA/114/2018 del 6 febbraio 2018</w:t>
      </w:r>
    </w:p>
    <w:p>
      <w:pPr>
        <w:pStyle w:val="Heading2"/>
      </w:pPr>
      <w:r>
        <w:t>Regeste</w:t>
      </w:r>
    </w:p>
    <w:p>
      <w:r>
        <w:t>Résumé: Dépassement de 55km/h sur une route limitée à 80 km/h située hors localité. Cas grave. Les besoins familiaux ne constituent pas une nécessité professionnelle de conduire un véhicule automobile. En fixant à cinq mois la durée du retrait de permis de conduire, l'autorité intimée n'a pas violé le droit et n'a pas abusé de son pouvoir d'appréciation. Recours rejeté.</w:t>
      </w:r>
    </w:p>
    <w:p>
      <w:pPr>
        <w:pStyle w:val="Heading2"/>
      </w:pPr>
      <w:r>
        <w:t>Erwägungen</w:t>
      </w:r>
    </w:p>
    <w:p>
      <w:r>
        <w:rPr>
          <w:b/>
        </w:rPr>
        <w:t>E. 12</w:t>
      </w:r>
    </w:p>
    <w:p>
      <w:r>
        <w:t>septembre 1985 - LPA - E 5 10). 2)</w:t>
      </w:r>
    </w:p>
    <w:p>
      <w:r>
        <w:t>À teneur de l’art. 61 al. 2 LPA, la chambre de céans n’a pas compétence pour apprécier l’opportunité de la décision litigieuse sauf exception prévue par la loi, cas non réalisé en l’espèce. 3)</w:t>
      </w:r>
    </w:p>
    <w:p>
      <w:r>
        <w:t>Selon l’art. 16c al. 1 let. a de la loi fédérale sur la circulation routière du 19 décembre 1958 (LCR - RS 741.01), celui qui met sérieusement en danger la sécurité d’autrui ou en prend le risque viole gravement les règles de la circulation.</w:t>
      </w:r>
    </w:p>
    <w:p>
      <w:r>
        <w:t>La recourante ne conteste pas la qualification de son infraction. 4) a. Après une infraction grave, le permis d'élève conducteur ou le permis de conduire est retiré pour trois mois au minimum (art. 16c al. 2 let. a LCR). Les circonstances concrètes doivent être prises en considération pour fixer la durée de la mesure, notamment l'atteinte à la sécurité routière, la gravité de la faute, les antécédents en tant que conducteur ainsi que la nécessité professionnelle de conduire un véhicule automobile (art. 16 al. 3 LCR ; ATF 108 Ib 258 consid. 2a ;</w:t>
      </w:r>
    </w:p>
    <w:p>
      <w:r>
        <w:t>- 4/6 - A/272/2017 ATF 105 Ib 205 consid. 2a ; André BUSSY et al. [éd.], Code suisse de la circulation routière commenté, 4ème éd., 2015, p. 235).</w:t>
      </w:r>
    </w:p>
    <w:p>
      <w:r>
        <w:t>b. La gravité de la faute est déterminée par les circonstances de l’infraction. Lorsque l’importance de l’excès de vitesse est grande, il se justifie pour ce seul motif déjà de s’écarter du minimum légal (Cédric MIZEL, « Les nouvelles dispositions légales sur le retrait du permis de conduire » RDAF 2004 I 361 p. 373 et 382).</w:t>
      </w:r>
    </w:p>
    <w:p>
      <w:r>
        <w:t>c. La chambre de céans reconnaît au SCV un large pouvoir d’appréciation dans la fixation des mesures administratives (ATA/16/2005 du 11 janvier 2005 ; ATA/814/2004 du 19 octobre 2004 et ATA/83/2003 du 11 février 2003). 5) a. En l’espèce, l’ampleur de l’excès de vitesse est telle qu’il se justifiait de s’écarter largement du minimum légal s’agissant d’un dépassement, non contesté, de 55 km/h de la vitesse maximale autorisée de 80 km/h hors localité, la recourante ayant circulé à 135 km/h, une fois les 4 km/h de marge déduits, sur une route limitée à 80 km/h.</w:t>
      </w:r>
    </w:p>
    <w:p>
      <w:r>
        <w:t>Il s’agit de la limite juste inférieure au délit de chauffard, lequel intervient dès un dépassement de 60 km/h dans les endroits limités à 80 km/h et impose un retrait du permis de conduire pour deux ans minimum (art. 16c al. 2 let. abis cum 90 al. 4 LCR).</w:t>
      </w:r>
    </w:p>
    <w:p>
      <w:r>
        <w:t>Tant la faute que l’atteinte à la sécurité routière sont graves.</w:t>
      </w:r>
    </w:p>
    <w:p>
      <w:r>
        <w:t>b. Il n’est pas contesté que les antécédents sont bons.</w:t>
      </w:r>
    </w:p>
    <w:p>
      <w:r>
        <w:t>c. Les besoins familiaux de la recourante ne constituent pas, au sens de l’art. 16 al. 3 LCR précité, une nécessité « professionnelle de conduire un véhicule automobile ». Par ailleurs et comme l’a justement relevé le TAPI, l’interdiction querellée porte sur le territoire helvétique et n’empêche pas la recourante de conduire sur France ni ne lui interdit l’exercice de sa profession au sens de la jurisprudence rappelée par le TAPI. C’est en conséquence à juste titre que le SCV n’a pas tenu compte des difficultés organisationnelles de la recourante tant pour ses déplacements vers son lieu de travail que pour la gestion de ses deux enfants en bas âge.</w:t>
      </w:r>
    </w:p>
    <w:p>
      <w:r>
        <w:t>d. En fixant à cinq mois la durée du retrait de permis, l’autorité intimée n’a pas violé le droit et n’a pas abusé de son large pouvoir d’appréciation. La décision du SCV est ainsi exempte de toute critique et devra être confirmée. 6)</w:t>
      </w:r>
    </w:p>
    <w:p>
      <w:r>
        <w:t>Mal fondé, le recours sera rejeté.</w:t>
      </w:r>
    </w:p>
    <w:p>
      <w:r>
        <w:t>- 5/6 - A/272/2017 7)</w:t>
      </w:r>
    </w:p>
    <w:p>
      <w:r>
        <w:t>Vu l’issue du recours, un émolument de CHF 500.- est mis à la charge de la recourante qui succombe (art. 87 al. 1 LPA). Aucune indemnité de procédure n’est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