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ATA/1145/2024 vom 1. Oktober 2024</w:t>
      </w:r>
    </w:p>
    <w:p>
      <w:r>
        <w:t>GE Cour de justice, 2024-10-01, FR</w:t>
      </w:r>
    </w:p>
    <w:p>
      <w:r>
        <w:rPr>
          <w:b/>
        </w:rPr>
        <w:t xml:space="preserve">Quelle: </w:t>
      </w:r>
      <w:r>
        <w:t>https://mcp.opencaselaw.ch/entscheid/ge_gerichte_ATA_1145_2024</w:t>
      </w:r>
    </w:p>
    <w:p>
      <w:r>
        <w:t>FR: GE_GERICHTE ATA/1145/2024 du 1 octobre 2024</w:t>
      </w:r>
    </w:p>
    <w:p>
      <w:r>
        <w:t>IT: GE_GERICHTE ATA/1145/2024 del 1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conclu à l’octroi de l’assistance juridique. Les renseignements nécessaires pour l’obtention de l’assistance juridique ont été transmis au recourant par pli du 19 juin 2024. L’intéressé a par ailleurs acquitté l’avance de frais de CHF 400.- dans le délai imparti et est assisté d’un conseil.</w:t>
      </w:r>
    </w:p>
    <w:p>
      <w:r>
        <w:t>- 8/17 - A/4167/2023</w:t>
      </w:r>
    </w:p>
    <w:p>
      <w:r>
        <w:rPr>
          <w:b/>
        </w:rPr>
        <w:t>E. 3</w:t>
      </w:r>
    </w:p>
    <w:p>
      <w:r>
        <w:t>Le recourant conclut préalablement à la suspension de la procédure aux fins de pouvoir exercer ses droits procéduraux dans la procédure pénale. L’OCPM s’y oppose.</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Selon l’art. 78 LPA, l’instruction des recours est suspendue par la requête simultanée de toutes les parties, le décès d’une partie, la faillite d’une partie, sa mise sous curatelle de portée générale, la cessation des fonctions en vertu desquelles l’une des parties agissait, le décès, la démission, la suspension ou la destitution de l’avocat ou du mandataire qualifié constitué (let. a à f).</w:t>
      </w:r>
    </w:p>
    <w:p>
      <w:r>
        <w:rPr>
          <w:b/>
        </w:rPr>
        <w:t>E. 3.2</w:t>
      </w:r>
    </w:p>
    <w:p>
      <w:r>
        <w:t>En l’espèce, l’objet du litige porte sur le bien-fondé d’une décision révoquant une autorisation de séjour. Aucune des conditions de l’art. 78 LPA n’est réalisée in casu, l’OCPM s’étant opposé à la suspension de la procédure. Quant à l’art. 14 LPA, le sort de la présente procédure ne dépend pas de la procédure pénale, conformément aux considérants qui suivent. Le dossier contient en effet de nombreuses pièces médicales permettant à la chambre de céans de statuer en connaissance de cause, étant rappelé pour le surplus que l’art. 14 LPA est une norme potestative, qui ne confère aucun droit à la suspension. Le recourant justifie ladite suspension par les besoins de la procédure pénale. Outre qu’il n’est pas démontré que sa présence serait indispensable et qu’il ne pourrait pas se faire représenter, il lui appartiendra d’examiner, en tant que de besoin et en temps voulu, les possibilités pour lui d’obtenir notamment un sauf-conduit. Il ne sera ainsi pas donné suite à la demande de suspension.</w:t>
      </w:r>
    </w:p>
    <w:p>
      <w:r>
        <w:rPr>
          <w:b/>
        </w:rPr>
        <w:t>E. 4</w:t>
      </w:r>
    </w:p>
    <w:p>
      <w:r>
        <w:t>Le recourant se plaint d’une violation de l’art. 50 al. 1 let. b LEI.</w:t>
      </w:r>
    </w:p>
    <w:p>
      <w:r>
        <w:rPr>
          <w:b/>
        </w:rPr>
        <w:t>E. 4.1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Venezuela.</w:t>
      </w:r>
    </w:p>
    <w:p>
      <w:r>
        <w:rPr>
          <w:b/>
        </w:rPr>
        <w:t>E. 4.2</w:t>
      </w:r>
    </w:p>
    <w:p>
      <w:r>
        <w:t>Aux termes de l’art. 43 al. 1 LEI, le conjoint étranger du titulaire d’une autorisation d’établissement a droit à l’octroi d’une autorisation de séjour et à la prolongation de sa durée de validité, aux conditions cumulatives suivantes : ils</w:t>
      </w:r>
    </w:p>
    <w:p>
      <w:r>
        <w:t>- 9/17 - A/4167/2023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4.3</w:t>
      </w:r>
    </w:p>
    <w:p>
      <w:r>
        <w:t>Aux termes de l’art. 50 al. 1 let. a LEI, après dissolution de la famille, le droit du conjoint à l’octroi d’une autorisation de séjour et à la prolongation de sa durée de validité en vertu notamment de l’art. 43 LEI subsiste lorsque l’union conjugale a duré au moins trois ans et que l’intégration est réussie (art. 50 al. 1 let. a LEI).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ATA/1046/2024 du 3 septembre 2024 consid. 3.7.1).</w:t>
      </w:r>
    </w:p>
    <w:p>
      <w:r>
        <w:rPr>
          <w:b/>
        </w:rPr>
        <w:t>E. 4.4</w:t>
      </w:r>
    </w:p>
    <w:p>
      <w:r>
        <w:t>En l'espèce, les époux ont fait ménage commun en Suisse, au sens de la LEI, du 18 août 2022, date du mariage du couple, au 1er, voire au 3 octobre 2022, date de leur séparation. L’OCPM a été informé par courrier du 11 octobre 2022, du fait que le couple ne faisait plus domicile commun à la suite de violences conjugales. Le 3 janvier 2023, le recourant a confirmé avoir été mis à la porte par son épouse suite à une dispute. Il n’est pas contesté que les conjoints n’ont jamais repris la vie commune. Le recourant ne peut en conséquence pas se prévaloir de l’art. 50 al. 1 let. a LEI.</w:t>
      </w:r>
    </w:p>
    <w:p>
      <w:r>
        <w:rPr>
          <w:b/>
        </w:rPr>
        <w:t>E. 5</w:t>
      </w:r>
    </w:p>
    <w:p>
      <w:r>
        <w:t>Se pose la question de l’application de la let. b de l’art. 50 al. 1 LEI.</w:t>
      </w:r>
    </w:p>
    <w:p>
      <w:r>
        <w:rPr>
          <w:b/>
        </w:rPr>
        <w:t>E. 5.1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- 10/17 - A/4167/2023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5.2</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w:t>
      </w:r>
    </w:p>
    <w:p>
      <w:r>
        <w:t>- 11/17 - A/4167/2023 concrète et objective, ainsi que d’établir par preuves le caractère systématique de la maltraitance, sa durée, ainsi que les pressions subjectives qui en résultent (arrêts du Tribunal fédéral 2C_465/2023 du 6 mars 2024 consid. 4.1 ; 2C_693/2019 du 21 janvier 2020 consid. 4.4). Des affirmations d’ordre général ou des indices faisant état de tensions ponctuelles sont insuffisants (ATF 138 II 229 consid. 3.2.3 ; arrêts du Tribunal fédéral 2C_12/2018 précité consid. 3.2 ; 2C_401/2018 du 17 septembre 2018 consid. 4.2).</w:t>
      </w:r>
    </w:p>
    <w:p>
      <w:r>
        <w:rPr>
          <w:b/>
        </w:rPr>
        <w:t>E. 5.3</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5.4</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6bis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5.5</w:t>
      </w:r>
    </w:p>
    <w:p>
      <w:r>
        <w:t>Lorsque des contraintes psychiques sont invoquées, il incombe à la personne d'illustrer de façon concrète et objective, ainsi que d'établir par preuves le caractère systématique de la maltraitance, sa durée ainsi que les pressions subjectives qui en</w:t>
      </w:r>
    </w:p>
    <w:p>
      <w:r>
        <w:t>- 12/17 - A/4167/2023 résultent (arrêts du Tribunal fédéral 2C_465/2023 du 6 mars 2024 consid. 4.1 ; 2C_693/2019 du 21 janvier 2020 consid. 4.4).</w:t>
      </w:r>
    </w:p>
    <w:p>
      <w:r>
        <w:rPr>
          <w:b/>
        </w:rPr>
        <w:t>E. 5.6</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ATA/466/2023 du 2 mai 2023 consid. 4.7 et l'arrêt cité).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juin 2024,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ATA/764/2024 du 25 juin 2024 consid. 3.6).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w:t>
      </w:r>
    </w:p>
    <w:p>
      <w:r>
        <w:t>- 13/17 - A/4167/2023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5.7</w:t>
      </w:r>
    </w:p>
    <w:p>
      <w:r>
        <w:t>Lorsqu'il admet l'existence de violence conjugale au sens de l'art. 50 al. 2 LEI, le Tribunal fédéral octroie ou prolonge l'autorisation de séjour ou approuve un tel octroi ou une telle prolongation (arrêts du Tribunal fédéral 2C_465/2023 précité consid. 4.4.5 ; 2C_1004/2020 du 23 mars 2021 consid. 4.3 et 4.4 ; 2C_423/2020 du 26 août 2020 consid. 2.4 et 5.1 ; 2C_776/2019 du 14 avril 2020 consid. 5.5 ; 2C_915/2019 du 13 mars 2020 consid. 5.9 ; 2C_922/2019 du 26 février 2020 consid. 5.5.3 ; 2C_693/2019 précité consid. 5).</w:t>
      </w:r>
    </w:p>
    <w:p>
      <w:r>
        <w:rPr>
          <w:b/>
        </w:rPr>
        <w:t>E. 5.8</w:t>
      </w:r>
    </w:p>
    <w:p>
      <w:r>
        <w:t>En l’espèce, comme déjà exposé, la vie commune n’a duré que deux mois. Il n’est pas contesté que les conditions de l’art. 50 al. 1 let. a LEI ne sont pas remplies. Le recourant se plaint d’avoir été victime de violences conjugales de la part de son épouse. Seul un épisode est allégué, soit la dispute du 1er octobre 2022. Chacun des époux a déposé plainte pénale contre son conjoint. S’agissant de violence physique, le recourant a indiqué avoir été griffé sur l’avant de la main gauche, au niveau du poignet intérieur. Son T-shirt avait été arraché. L’intéressé ne fournit toutefois ni certificat médical ni photo. S’agissant de violence verbale, l’épouse du recourant n’a pas contesté avoir été grossière avec son époux, à l’occasion de cette dispute, choquée par la teneur de la discussion qui avait précédé. Si certes à ces événements s’ajoute le fait que la valise et les habits du recourant ont été jetés par la fenêtre et que celui-ci indique avoir été mis à la porte « comme un chien », ce contexte de fait, unique, dans le cadre d’une bagarre où l’épouse a déposé plainte pénale, photos à l’appui, ne remplit à l’évidence pas les conditions strictes exigées par l’art. 50 al. 1 let. b LEI. Les conditions d’octroi d’une autorisation de séjour pour d’autres raisons personnelles majeures ou cas d’extrême gravité ne sont pas données. Le recourant est arrivé en Suisse en août 2022, soit il y a deux ans. La durée de son séjour en Suisse est brève. Il ne peut se prévaloir d’une intégration professionnelle. Le 22 décembre 2022, l’intéressé a transmis à l’OCPM copie d’un contrat de travail et des fiches de salaire d’octobre et novembre 2022, pour des montants nets respectifs de CHF 1'601.20 et CHF 563.45 dans une activité de nettoyage. Lors de son audition à la police, le 26 novembre 2022, il a toutefois indiqué être sans activité lucrative. Il n’a produit aucune pièce relative à une éventuelle activité professionnelle récente. Il n’a par ailleurs pas noué des relations privées</w:t>
      </w:r>
    </w:p>
    <w:p>
      <w:r>
        <w:t>- 14/17 - A/4167/2023 particulièrement étroites en Suisse. Ainsi, l’intégration du recourant, que ce soit sur le plan professionnel ou social, n’apparaît nullement exceptionnelle. Les possibilités de réintégration dans son pays d’origine sont bonnes. Il ressort de la demande déposée par l’épouse du recourant devant le tribunal de première instance, non contesté dans le cadre de la présente procédure, que plusieurs membres de la famille du recourant vivraient au Venezuela, notamment sa mère et ses sœurs. Il est jeune (26 ans), en bonne santé et pourra mettre en valeur au Venezuela les compétences notamment linguistiques acquises en Suisse. Il sera enfin relevé que le recourant n’a pas collaboré à l’établissement des faits, puisqu’il n’a que partiellement donné suite à la requête de la juge déléguée de préciser quelles étaient les « démarches entamées conjointement par les époux sur le plan civil ». La réponse, du 16 septembre 2024, selon laquelle « la correspondance ne demandait qu’une suspension afin que les parties puissent entamer des pourparlers en vue de parvenir éventuellement à une résolution, à l’amiable, du conflit dans son ensemble » passait sous silence un fait important soit son divorce, prononcé le 3 juin 2024.</w:t>
      </w:r>
    </w:p>
    <w:p>
      <w:r>
        <w:t>Au vu de ce qui précède, le recourant ne se trouve pas dans une situation de détresse personnelle au sens de l’art. 50 al. 1 let. b LEI ni, pour des motifs similaires, dans un cas d’extrême gravité au sens de l’art. 30 al. 1 let. b LEI. Il ne se trouve en effet pas dans une situation si rigoureuse que l’on ne saurait exiger son retour au Venezuela.</w:t>
      </w:r>
    </w:p>
    <w:p>
      <w:r>
        <w:rPr>
          <w:b/>
        </w:rPr>
        <w:t>E. 6</w:t>
      </w:r>
    </w:p>
    <w:p>
      <w:r>
        <w:t>Le recourant invoque enfin une violation de l’art. 6 CEDH au motif qu’il était empêché, en sa qualité de victime, de faire valoir ses droits.</w:t>
      </w:r>
    </w:p>
    <w:p>
      <w:r>
        <w:rPr>
          <w:b/>
        </w:rPr>
        <w:t>E. 6.1</w:t>
      </w:r>
    </w:p>
    <w:p>
      <w:r>
        <w:t>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(art. 6 § 1 CEDH).</w:t>
      </w:r>
    </w:p>
    <w:p>
      <w:r>
        <w:rPr>
          <w:b/>
        </w:rPr>
        <w:t>E. 6.2</w:t>
      </w:r>
    </w:p>
    <w:p>
      <w:r>
        <w:t>En l’espèce, le recourant a pu faire valoir ses droits dans le cadre de la présente procédure administrative, laquelle porte exclusivement sur la révocation d’une autorisation de séjour. Les développements du TAPI sur le courrier d’intention du 15 septembre 2023, que le recourant se plaint de ne pas avoir reçu, sont conformes à la loi et la jurisprudence. Détaillés, il peut y être renvoyé. Pour le surplus, il n’appartient pas à la chambre administrative de se déterminer sur les droits procéduraux pénaux, et leur hypothétique violation, dans le cadre du présent recours.</w:t>
      </w:r>
    </w:p>
    <w:p>
      <w:r>
        <w:rPr>
          <w:b/>
        </w:rPr>
        <w:t>E. 7</w:t>
      </w:r>
    </w:p>
    <w:p>
      <w:r>
        <w:t>Reste à examiner la légalité du renvoi de Suisse de l’intéressé.</w:t>
      </w:r>
    </w:p>
    <w:p>
      <w:r>
        <w:rPr>
          <w:b/>
        </w:rPr>
        <w:t>E. 7.1</w:t>
      </w:r>
    </w:p>
    <w:p>
      <w:r>
        <w:t>Selon l’art. 64 al. 1 let. c LEI, l’autorité compétente rend une décision de renvoi ordinaire à l’encontre d’un étranger auquel l’autorisation de séjour est refusée ou</w:t>
      </w:r>
    </w:p>
    <w:p>
      <w:r>
        <w:t>- 15/17 - A/4167/2023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7.2</w:t>
      </w:r>
    </w:p>
    <w:p>
      <w:r>
        <w:t>En l’espèce, dès lors qu’il a, à juste titre, refusé l’octroi d’une autorisation de séjour au recourant, l’intimé devait en principe prononcer son renvoi. Par ailleurs, rien ne permet de retenir que l’exécution du renvoi ne serait pas possible, licite ou raisonnablement exigible. La décision de l’OCPM du 8 novembre 2023 est donc conforme au droit et le recours contre le jugement du TAPI, entièrement mal fondé, sera rejeté.</w:t>
      </w:r>
    </w:p>
    <w:p>
      <w:r>
        <w:rPr>
          <w:b/>
        </w:rPr>
        <w:t>E. 8</w:t>
      </w:r>
    </w:p>
    <w:p>
      <w:r>
        <w:t>Vu l’issue du litige,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