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ATA/1145/2015 vom 27. Oktober 2015</w:t>
      </w:r>
    </w:p>
    <w:p>
      <w:r>
        <w:t>GE Cour de justice, 2015-10-27, FR</w:t>
      </w:r>
    </w:p>
    <w:p>
      <w:r>
        <w:rPr>
          <w:b/>
        </w:rPr>
        <w:t xml:space="preserve">Quelle: </w:t>
      </w:r>
      <w:r>
        <w:t>https://mcp.opencaselaw.ch/entscheid/ge_gerichte_ATA_1145_2015</w:t>
      </w:r>
    </w:p>
    <w:p>
      <w:r>
        <w:t>FR: GE_GERICHTE ATA/1145/2015 du 27 octobre 2015</w:t>
      </w:r>
    </w:p>
    <w:p>
      <w:r>
        <w:t>IT: GE_GERICHTE ATA/1145/2015 del 27 ottobre 2015</w:t>
      </w:r>
    </w:p>
    <w:p>
      <w:pPr>
        <w:pStyle w:val="Heading2"/>
      </w:pPr>
      <w:r>
        <w:t>Regeste</w:t>
      </w:r>
    </w:p>
    <w:p>
      <w:r>
        <w:t>Résumé: Recours contre une décision du DSE constatant, au jour du prononcé de la décision, la licéité des conditions de détention en exécution de peine du recourant en relation avec la taille des cellules occupées. Eu égard au manque de clarté des voies de recours légales et à la nécessité d'éviter un conflit de compétence, la chambre administrative se reconnaît compétente à raison de la matière pour connaître du litige. Malgré sa libération conditionnelle et compte tenu de la décision constatatoire rendue, le recourant conserve un intérêt actuel à recourir, tout au moins afin de faire valoir ses prétentions en indemnisation devant la juridiction compétente. Pour examiner la licéité des conditions de détention, il faut prendre en considération la surface de la cellule, sans déduction du mobilier. L'incarcération dans une cellule multiple avec un espace individuel par détenu de 4 m2 ne représente pas un traitement dégradant portant atteinte à la dignité humaine. L'occupation d'une cellule avec moins de 4 m2 d'espace individuel disponible mais plus de 3 m2 peut constituer une violation de l'art. 3 CEDH si elle s'étend sur une longue période et s'accompagne d'autres mauvaises conditions de détention. En l'espèce, pas de violation de l'art. 3 CEDH. Recours rejeté.</w:t>
      </w:r>
    </w:p>
    <w:p>
      <w:pPr>
        <w:pStyle w:val="Heading2"/>
      </w:pPr>
      <w:r>
        <w:t>Erwägungen</w:t>
      </w:r>
    </w:p>
    <w:p>
      <w:r>
        <w:rPr>
          <w:b/>
        </w:rPr>
        <w:t>E. 12</w:t>
      </w:r>
    </w:p>
    <w:p>
      <w:r>
        <w:t>septembre 1985 - LPA - E 5 10). 2) a. La chambre administrative examine d’office sa compétence, qui est déterminée par la loi et ne peut être créée par accord entre les parties (art. 11 al. 1 et 2 LPA ; ATA/654/2015 du 23 juin 2015 consid. 1 ; ATA/375/2013 du 18 juin 2013 consid. 2 ; ATA/727/2012 du 30 octobre 2012 consid. 2a et les arrêts cités). Celle-ci est définie à l’art. 132 LOJ. La chambre administrative est l’autorité supérieure ordinaire de recours en matière administrative (art. 132 al. 1 LOJ). Le recours est ouvert contre les décisions des autorités et juridictions administratives au sens des art. 4, 4A, 5, 6 al. 1 let. a et e, et 57 LPA, sauf exceptions prévues par la loi (art. 132 al. 2 LOJ) ou lorsque le droit fédéral ou une loi cantonale prévoit une autre voie de recours (art. 132 al. 8 LOJ), ou encore lorsque la saisine est prévue dans des lois particulières (art. 132 al. 6 LOJ).</w:t>
      </w:r>
    </w:p>
    <w:p>
      <w:r>
        <w:t>- 8/19 - A/325/2014</w:t>
      </w:r>
    </w:p>
    <w:p>
      <w:r>
        <w:t>b. En l’espèce, le recours est dirigé contre une décision du DSE constatant la licéité des conditions de détention en exécution de peine. Eu égard au manque de clarté des voies de recours légales contre une telle décision ainsi qu’à la nécessité d’éviter un conflit négatif de compétence, la chambre administrative se reconnaîtra, en accord avec la chambre pénale de recours, compétente pour connaître du présent recours. 3)</w:t>
      </w:r>
    </w:p>
    <w:p>
      <w:r>
        <w:t>L’autorité intimée affirme que le recourant n’aurait plus d’intérêt actuel à recourir contre la décision attaquée, de sorte que son recours devrait être déclaré irrecevable.</w:t>
      </w:r>
    </w:p>
    <w:p>
      <w:r>
        <w:t>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(ATA/65/2015 du</w:t>
      </w:r>
    </w:p>
    <w:p>
      <w:r>
        <w:rPr>
          <w:b/>
        </w:rPr>
        <w:t>E. 13</w:t>
      </w:r>
    </w:p>
    <w:p>
      <w:r>
        <w:t>janvier 2015 consid. 2b ; ATA/193/2013 du 26 mars 2013 consid. 2b).</w:t>
      </w:r>
    </w:p>
    <w:p>
      <w:r>
        <w:t>b. Selon la jurisprudence, le recourant doit avoir un intérêt pratique à l'admission du recours, soit que cette admission soit propre à lui procurer un avantage, de nature économique, matérielle ou idéale (ATF 138 II 162 consid. 2.1.2 p. 164 ; 137 II 30 consid. 2 p. 32 ss ; 137 II 40 consid. 2.6.3 p. 46 ; arrêt du Tribunal fédéral 1C_152/2012 du 21 mai 2012 consid. 2.1 ; ATA/774/2015 du 28 juillet 2015 consid. 2a).</w:t>
      </w:r>
    </w:p>
    <w:p>
      <w:r>
        <w:t>c. Un intérêt digne de protection suppose un intérêt actuel à obtenir l’annulation de la décision attaquée (ATF 138 II 42 consid. 1 p. 44 ; 137 I 23 consid 1.3 p. 24 s ; 135 I 79 consid. 1 p. 82 ; arrêts du Tribunal fédéral 1C_495/2014 du 23 février 2015 consid. 1.2 ; 8C_897/2012 du 2 avril 2013 ; 2C_892/2011 du 17 mars 2012 consid. 1.2 ; 2C_811/2011 du 5 janvier 2012 consid. 1). L’existence d’un intérêt actuel s’apprécie non seulement au moment du dépôt du recours, mais aussi lors du prononcé de la décision sur recours (ATF 137 I 296 consid. 4.2 p. 299 ; 136 II 101 consid. 1.1 p. 103).</w:t>
      </w:r>
    </w:p>
    <w:p>
      <w:r>
        <w:t>La condition de l’intérêt actuel fait défaut en particulier lorsque, par exemple, la décision ou la loi est révoquée ou annulée en cours d’instance (ATF 111 Ib 182 consid. 2 p. 185 ; 110 Ia 140 consid. 2 p. 141 s ; 104 Ia 487 consid. 2 p. 488 ; ATA/124/2005 du 8 mars 2005 consid. 1c), la décision attaquée a été exécutée et a sorti tous ses effets (ATF 125 I 394 consid. 4 p. 396 ss ; 120 Ia 165 consid. 1a p. 166 et les références citées ; ATA/65/2015 précité consid. 3a), le recourant a payé sans émettre aucune réserve la somme d’argent fixée par la décision litigieuse (ATF 106 Ia 151 consid. 1b p. 153 ; 99 V 78 consid. b p. 80 s) ou encore, en cas de recours concernant une décision</w:t>
      </w:r>
    </w:p>
    <w:p>
      <w:r>
        <w:t>- 9/19 - A/325/2014 personnalissime, lorsque le décès du recourant survient pendant l’instance (ATF 113 Ia 351 consid. 1 p. 352 ; Pierre MOOR/Étienne POLTIER, Droit administratif, vol. 2, 3ème éd., 2011, p. 748 n. 5.7.2.3).</w:t>
      </w:r>
    </w:p>
    <w:p>
      <w:r>
        <w:t>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p. 208 ; 136 II 101 consid. 1.1 p. 103 ; 135 I 79 consid. 1.1 p. 81 ; arrêts du Tribunal fédéral 1C_477/2012 du 27 mars 2013 consid. 2.3 ; 1C_9/2012 du 7 mai 2012 consid. 1.2 ; ATA/236/2014 du 8 avril 2014 consid. 2d) ou lorsqu’une décision n’est pas susceptible de se renouveler mais que les intérêts des recourants sont particulièrement touchés avec des effets qui vont perdurer (ATF 136 II 101 consid. 1.1 p. 103 ; 135 I 79 consid. 1.1 p. 81). Cela étant, l’obligation d’entrer en matière sur un recours, dans certaines circonstances, nonobstant l’absence d’un intérêt actuel, ne saurait avoir pour effet de créer une voie de recours non prévue par le droit cantonal (ATF 135 I 79 consid. 1 p. 81 ; 131 II 361 consid. 1.2 p. 365 ; 128 II 34 consid. 1b p. 36 ; arrêts du Tribunal fédéral 1C_133/2009 du 4 juin 2009 consid. 3 ; 1C_76/2009 du 30 avril 2009 consid. 2).</w:t>
      </w:r>
    </w:p>
    <w:p>
      <w:r>
        <w:t>e. S’agissant d’une sanction disciplinaire déjà exécutée au moment de statuer sur recours, lorsque le recourant est encore en détention au moment du prononcé de l’arrêt, la chambre administrative fait en principe abstraction de l’exigence d’un intérêt actuel, faute de quoi une telle mesure échapperait systématiquement à son contrôle (ATA/348/2015 du 14 avril 2015 consid. 2e ; ATA/521/2014 du 1er juillet 2014 consid. 3c et les références citées).</w:t>
      </w:r>
    </w:p>
    <w:p>
      <w:r>
        <w:t>f. En l’espèce, l’autorité intimée affirme que, le recourant ayant obtenu sa libération conditionnelle et aucun élément n’indiquant qu’il serait susceptible d’être incarcéré à nouveau dans des conditions alléguées illicites, il n’aurait pas d’intérêt actuel à remettre en cause la décision litigieuse et il n’y aurait pas lieu de renoncer à cette exigence.</w:t>
      </w:r>
    </w:p>
    <w:p>
      <w:r>
        <w:t>Toutefois, s’il n’est pas contesté que le recourant est sorti de la prison en mars 2014, il n’en demeure pas moins que le recours est dirigé non pas contre une décision prononçant à son encontre une mesure disciplinaire, mais contre une décision constatant la licéité de ses conditions de détention. Or, le recourant conclut non seulement à la constatation de l’illicéité de ses conditions de détention mais manifeste également son intention d’obtenir son indemnisation. Dès lors, malgré sa libération conditionnelle et compte tenu du fait qu’une décision constatatoire sujette à recours a été rendue par le DSE le 23 décembre 2013, il conserve un intérêt actuel à contester cette dernière et donc la licéité de ses conditions de détention, tout au moins afin de faire valoir ses prétentions en indemnisation devant la juridiction compétente.</w:t>
      </w:r>
    </w:p>
    <w:p>
      <w:r>
        <w:t>- 10/19 - A/325/2014</w:t>
      </w:r>
    </w:p>
    <w:p>
      <w:r>
        <w:t>Dans ces circonstances, le recourant a la qualité pour recourir et son recours sera déclaré recevable. 4)</w:t>
      </w:r>
    </w:p>
    <w:p>
      <w:r>
        <w:t>Il convient préalablement d’examiner l’objet du litige.</w:t>
      </w:r>
    </w:p>
    <w:p>
      <w:r>
        <w:t>a. Peuvent notamment faire l’objet d’un recours les décisions finales (art. 57 let. a LPA). L’acte de recours contient, sous peine d’irrecevabilité, la désignation de la décision attaquée et les conclusions du recourant, ainsi que l’exposé des motifs et l’indication des moyens de preuve (art. 65 al. 1 et 2 LPA). La juridiction administrative applique le droit d’office et ne peut aller au-delà des conclusions des parties, sans pour autant être liée par les motifs invoqués (art. 69 al. 1 LPA).</w:t>
      </w:r>
    </w:p>
    <w:p>
      <w:r>
        <w:t>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p. 365 ss ; arrêt du Tribunal fédéral 2C_581/2010 du 28 mars 2011 consid. 1.5 ; ATA/902/2015 du 1er septembre 2015 consid. 3b).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(ATA/902/2015 précité consid. 3b ; ATA/744/2014 du 23 septembre 2014 consid. 2a ; ATA/336/2014 du 13 mai 2014 consid. 4a).</w:t>
      </w:r>
    </w:p>
    <w:p>
      <w:r>
        <w:t>c. En l’espèce, le recours est dirigé contre la décision du DSE en tant qu’elle constate que les droits du recourant par rapport à la surface disponible dans les cellules qu’il a occupées en exécution de peine n’ont pas été violés.</w:t>
      </w:r>
    </w:p>
    <w:p>
      <w:r>
        <w:t>Il en résulte que l’objet du litige se limite à la conformité au droit de cette constatation.</w:t>
      </w:r>
    </w:p>
    <w:p>
      <w:r>
        <w:t>Les conclusions du recourant non soumises à l’autorité intimée et tendant à la condamnation de l’État de Genève au versement d’une indemnité à titre de réparation du tort moral constituent des conclusions exorbitantes au litige. Elles seront ainsi déclarées irrecevables.</w:t>
      </w:r>
    </w:p>
    <w:p>
      <w:r>
        <w:t>Par ailleurs, il convient de relever que le DSE ne pouvait constater le respect ou l’irrespect des droits du recourant quant à la taille de ses cellules en exécution de peine qu’au jour du prononcé de sa décision, le 23 décembre 2013. La décision attaquée ne porte par conséquent que sur les conditions de détention du recourant</w:t>
      </w:r>
    </w:p>
    <w:p>
      <w:r>
        <w:t>- 11/19 - A/325/2014 pour la période allant du 7 septembre 2013 - date de son passage au régime d’exécution de peine - au 23 décembre 2013, à l’exclusion de ses conditions de détention pendant la période ultérieure, allant de fin décembre 2013 à sa libération, en mars 2014. Le contrôle de la chambre administrative est dès lors limité dans cette mesure. 5)</w:t>
      </w:r>
    </w:p>
    <w:p>
      <w:r>
        <w:t>Le recourant sollicite la production du dossier complet du DSE, un second transport sur place et la prise de photographies.</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arrêts du Tribunal fédéral 1C_544/2014 du 1er avril 2015 consid. 3.1 ; 1C_582/2012 du 9 juillet 2013 consid. 2.1 et les arrêts cités).</w:t>
      </w:r>
    </w:p>
    <w:p>
      <w:r>
        <w:t>b. Le droit de faire administrer des preuves n’empêche cependant pas le juge de renoncer à l’administration de certaines preuves offertes et de procéder à une appréciation anticipée de ces dernières, en particulier s’il acquiert la certitude qu’elles ne l’amèneront pas à modifier son opinion ou si le fait à établir résulte déjà des constatations ressortant du dossier (ATF 136 I 229 consid. 5.3 p. 236 ; 134 I 140 consid. 5.3 p. 148 ; 131 I 153 consid. 3 p. 158 ; arrêts du Tribunal fédéral 1C_119/2015 du 16 juin 2015 consid. 2.1 ; 2C_481/2013 du 30 mai 2013 consid. 2.1 ; 4A_108/2012 du 11 juin 2012 consid. 3.2 ; 8C_799/2011 du 20 juin 2012 consid. 6.1 et les arrêts cités ; ATA/693/2015 du 30 juin 2015 consid. 4b).</w:t>
      </w:r>
    </w:p>
    <w:p>
      <w:r>
        <w:t>c. En l’espèce, la chambre administrative, qui a procédé à un transport sur place ayant fait l’objet d’un procès-verbal, dispose d’un dossier complet lui permettant de trancher le litige et se prononcer sur les griefs soulevés en toute connaissance de cause.</w:t>
      </w:r>
    </w:p>
    <w:p>
      <w:r>
        <w:t>Il ne sera dès lors pas donné suite aux requêtes du recourant. 6)</w:t>
      </w:r>
    </w:p>
    <w:p>
      <w:r>
        <w:t>Le recourant indique que le courrier du 17 décembre 2013 ne lui a été transmis qu’avec la décision du 23 décembre 2013, sans qu’il n’ait au préalable été appelé à se déterminer. Ce faisant, il invoque implicitement une violation de son droit d’être entendu par le DSE.</w:t>
      </w:r>
    </w:p>
    <w:p>
      <w:r>
        <w:t>a. En tant que droit de participation, le droit d’être entendu englobe tous les droits qui doivent être attribués à une partie pour qu’elle puisse faire valoir</w:t>
      </w:r>
    </w:p>
    <w:p>
      <w:r>
        <w:t>- 12/19 - A/325/2014 efficacement son point de vue dans une procédure (ATF 132 II 485 consid. 3.2 p. 494 ; 129 II 497 consid. 2.2 p. 504 ss).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p. 274 ; 105 Ia 193 consid. 2b/cc p. 197).</w:t>
      </w:r>
    </w:p>
    <w:p>
      <w:r>
        <w:t>b. La réparation d'un vice de procédure en instance de recours et notamment de la violation du droit d'être entendu, n'est possible que lorsque l'autorité dispose du même pouvoir d'examen que l'autorité inférieure (ATF 137 I 195 consid. 2.3.2 p. 197 ss ; 133 I 201 consid. 2.2 p. 204 ; arrêt du Tribunal fédéral 1C_533/2012 du 12 septembre 2013 consid. 2.1 ; ATA/666/2015 du 23 juin 2015 consid. 2b). Elle dépend toutefois de la gravité et de l'étendue de l'atteinte portée au droit d'être entendu et doit rester l'exception (ATF 126 I 68 consid. 2 p. 72 et les arrêts cités ; arrêts du Tribunal fédéral 1C_641/2012 du 31 avril 2013 consid. 3.4 ; 1C.63/2008 du 25 août 2008 consid. 2.1). Elle peut cependant se justifier en présence d'un vice grave lorsque le renvoi constituerait une vaine formalité et aboutirait à un allongement inutile de la procédure (ATF 137 I 195 consid. 2.3.2 p. 190 ss ; 136 V 117 consid. 4.2.2.2 p. 126 s ; 133 I 201 consid. 2.2 p. 204 ; 132 V 387 consid. 5.1 ; ATA/666/2015 précité consid. 2b).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(ATA/666/2015 précité consid. 2b ; ATA/203/2015 du 24 février 2015 consid. 2c ; ATA/451/2014 du 17 juin 2014 consid. 4).</w:t>
      </w:r>
    </w:p>
    <w:p>
      <w:r>
        <w:t>c. En l’espèce, le recourant allègue ne pas avoir eu connaissance du rapport de la direction de la prison ni pu s’exprimer à son sujet avant le prononcé de la décision litigieuse.</w:t>
      </w:r>
    </w:p>
    <w:p>
      <w:r>
        <w:t>En tout état de cause, même à admettre une violation du droit d’être entendu du recourant par l’autorité intimée, ce vice se trouverait réparé dans le cadre de la procédure de recours. Le recourant a en effet pu prendre connaissance du rapport du 17 décembre 2013 et faire valoir ses arguments devant la chambre administrative, qui a, au vu de l’objet du litige, le même pouvoir de cognition que l'autorité intimée.</w:t>
      </w:r>
    </w:p>
    <w:p>
      <w:r>
        <w:t>Le grief de violation du droit d'être entendu sera par conséquent écarté. 7)</w:t>
      </w:r>
    </w:p>
    <w:p>
      <w:r>
        <w:t>Le recourant invoque une violation des art. 3 CEDH et 7 Cst.</w:t>
      </w:r>
    </w:p>
    <w:p>
      <w:r>
        <w:t>a. Au niveau conventionnel, l'art. 3 CEDH, qui interdit - à l'instar d'autres dispositions constitutionnelles et conventionnelles - la torture et les peines ou traitements inhumains ou dégradants, impose notamment des standards minimaux</w:t>
      </w:r>
    </w:p>
    <w:p>
      <w:r>
        <w:t>- 13/19 - A/325/2014 en matière de détention (ATF 124 I 231 consid. 2 p. 235). Par ailleurs, la Suisse a ratifié la Convention européenne pour la prévention de la torture et des peines ou traitements inhumains ou dégradants du 27 novembre 1987 (RS 0.106), instituant le comité européen pour la prévention de la torture et des peines ou traitements inhumains ou dégradants (ci-après : CPT), habilité à examiner le traitement des détenus dans les États contractants. Sur le plan constitutionnel, l'art. 7 Cst. prescrit le respect et la protection de la dignité humaine, tandis que l'art. 10 al. 3 Cst. interdit la torture et tout autre traitement ou peine cruels, inhumains ou dégradants. Au niveau cantonal, la Constitution de la République et canton de Genève du 14 octobre 2012 (Cst-GE - A 2 00) prévoit que la torture et tout autre traitement ou peine cruels, inhumains ou dégradants sont interdits (art. 18 al. 2) et que la dignité humaine est inviolable (art. 14 al. 1).</w:t>
      </w:r>
    </w:p>
    <w:p>
      <w:r>
        <w:t>b. Les standards minimaux en matière de détention sont concrétisés par la recommandation Rec(2006)2 sur les règles pénitentiaires européennes adoptées le 11 janvier 2006 par le comité des ministres du Conseil de l’Europe (ci-après : RPE), destinée aux États, censés édicter des règles internes s'inspirant de la recommandation. Selon la règle. 1 RPE, les personnes privées de liberté doivent être traitées dans le respect des droits de l'homme. Les règles 17 à 22 RPE traitent des locaux de détention, de l'hygiène, de la literie et du régime alimentaire. Les locaux de détention doivent satisfaire aux exigences de respect de la dignité humaine et, dans la mesure du possible, de la vie privée, et répondre aux conditions minimales requises en matière de santé et d'hygiène, compte tenu des conditions climatiques, notamment en ce qui concerne l'espace au sol, le volume d'air, l'éclairage et l'aération (règle 18.1). Les fenêtres doivent être suffisamment grandes pour que les détenus puissent lire et travailler à la lumière naturelle dans des conditions normales et pour permettre l'entrée d'air frais, sauf s'il existe un système de climatisation approprié (règle 18.2 let. a). La lumière artificielle doit être conforme aux normes techniques reconnues en la matière (règle 18.2. let. b). Les locaux d'une prison doivent être maintenus en état et propres à tout moment (règle 19.1). Les détenus doivent jouir d'un accès facile à des installations sanitaires hygiéniques et protégeant leur intimité (règle 19.3). Les installations de bain et de douche doivent être suffisantes pour que chaque détenu puisse les utiliser à une température adaptée au climat (règle 19.4). Chaque détenu doit disposer d'un lit séparé et d'une literie individuelle convenable, entretenue correctement et renouvelée à des intervalles suffisamment rapprochés pour en assurer la propreté (règle 21). La nourriture doit être préparée et servie dans des conditions hygiéniques (règle 22.3) et les détenus doivent avoir accès à tout moment à l'eau potable (règle 22.5). Tout détenu doit avoir l'opportunité, si le temps le permet, d'effectuer au moins une heure par jour d'exercice en plein air (règle 27.1).</w:t>
      </w:r>
    </w:p>
    <w:p>
      <w:r>
        <w:t>c. Ces règles ont été encore précisées dans un Commentaire établi par le CPT. S'agissant des conditions de logement, le CPT a arrêté quelques standards</w:t>
      </w:r>
    </w:p>
    <w:p>
      <w:r>
        <w:t>- 14/19 - A/325/2014 minimaux : l'espace au sol disponible est estimé à 4 m2 par détenu dans un dortoir et à 6 m2 dans une cellule individuelle, sans qu’il soit précisé si ces standards doivent se comprendre comme une surface brute, comprenant les installations sanitaires et les meubles, ou nette, soit déduction faite de ces installations et meubles (ATF 140 I 125 p. 139 consid. 3.6.3 ; arrêts du Tribunal fédéral 1B_404/2013 du 26 février 2014 consid. 2.6.3 ; 1B_369/2013 du 26 février 2014 consid. 3.6.3 ; 1B_336/2013 26 février 2014 consid. 4.6.3 ; 1B_335/2013 du 26 février 2014 consid. 3.6.3). Ces standards doivent cependant être modulés en fonction des résultats d'analyses plus approfondies du système pénitentiaire. Le nombre d'heures passées en dehors de la cellule doit être pris en compte. En tout état, ces chiffres ne doivent pas être considérés comme la norme. À titre d'exemple, le CPT considère comme étant souhaitable pour une cellule individuelle une taille de 9 à 10 m2. La taille devrait être comprise entre 9 et 14,7 m2 pour deux personnes et mesurer environ 23 m2 pour trois personnes (Rod MORGAN/Malcolm EVANS, Prévention de la torture en Europe : Les normes du CPT en matière de détention par la police et de détention préventive, 2002, p. 34). 8) a. Au niveau législatif, en matière de procédure pénale, l'art. 3 al. 1 CPP rappelle le principe du respect de la dignité humaine. Selon l’art. 74 CP, le détenu et la personne exécutant une mesure ont droit au respect de leur dignité. L'exercice de leurs droits ne peut être restreint que dans la mesure requise par la privation de liberté et par les exigences de la vie collective dans l'établissement. À teneur de l’art. 75 al. 1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w:t>
      </w:r>
    </w:p>
    <w:p>
      <w:r>
        <w:t>b. Dans le canton de Genève, les droits et les obligations des détenus sont définis par le règlement sur le régime intérieur de la prison et le statut des personnes incarcérées du 30 septembre 1985 (RRIP - F 1 50.04). Chaque cellule est équipée de manière à permettre une vie décente et conforme aux exigences de la salubrité (art. 15 al. 1). Les détenus peuvent se doucher régulièrement (art. 16). En règle générale, ils bénéficient d'une heure de promenade par jour dans les cours réservées à cet usage et peuvent, dans les limites déterminées, se livrer à des exercices physiques (art. 18). Le service médical de la prison prodigue des soins en permanence (art. 29). Les détenus ont droit à un parloir par semaine, limité à deux visiteurs, en présence d'un fonctionnaire de la prison et pendant une heure au maximum (art. 37). Le RRIP ne contient en revanche aucune disposition plus précise concernant l'aménagement, l'équipement, la dimension des cellules ou la surface dont doit bénéficier chaque détenu à l'intérieur de celles-ci.</w:t>
      </w:r>
    </w:p>
    <w:p>
      <w:r>
        <w:t>- 15/19 - A/325/2014 9)</w:t>
      </w:r>
    </w:p>
    <w:p>
      <w:r>
        <w:t>Le 26 février 2014, le Tribunal fédéral a rendu plusieurs arrêts en matière d’examen des conditions de détention, dans le cadre de la détention provisoire, confirmés ultérieurement.</w:t>
      </w:r>
    </w:p>
    <w:p>
      <w:r>
        <w:t>a. Il a à cette occasion rappelé la jurisprudence fédérale existante (ATF 140 I 125 précité consid. 3.3 p. 133).</w:t>
      </w:r>
    </w:p>
    <w:p>
      <w:r>
        <w:t>Selon cette dernière, le but de la détention doit être pris en compte et il y a lieu de distinguer la détention en exécution de jugement de la détention provisoire, laquelle vise à garantir un déroulement correct de l'instruction pénale et est justifiée par les besoins de l'instruction, un risque de fuite ou un danger de collusion ou de réitération (ATF 97 I 839 consid. 5 p. 844 ; 97 I 45 consid. 4b p. 53 s.). Les conditions de détention provisoire peuvent être plus restrictives lorsque les risques de fuite, de collusion et de récidive sont plus élevés, ou lorsque l'ordre et la sécurité dans la prison sont particulièrement mis en danger (notamment la sécurité du personnel et des détenus ; ATF 123 I 221 consid. 4c p. 228 et l'arrêt cité). Le Tribunal fédéral a toutefois précisé que cela ne valait que tant que la durée de la détention provisoire était courte. En cas de détention provisoire se prolongeant au-delà d'environ trois mois, les conditions de détention doivent satisfaire à des exigences plus élevées (ATF 140 I 125 précité consid. 3.3 p. 133).</w:t>
      </w:r>
    </w:p>
    <w:p>
      <w:r>
        <w:t>Il faut par ailleurs procéder à une appréciation globale de toutes les conditions concrètes de détention (ATF 123 I 221 précité consid. II/1c/cc p. 233). En ce qui concerne la violation de l'art. 3 CEDH, un traitement dénoncé doit atteindre un minimum de gravité, dont l'appréciation dépend de l'ensemble des données de la cause et notamment de la nature et du contexte du traitement ainsi que de sa durée (ATF 139 I 272 consid. 4 p. 278), la durée étant susceptible de rendre incompatible avec la dignité humaine une situation ne l’étant pas nécessairement sur une courte période (ATF 140 I 125 précité consid. 3.3 p. 133).</w:t>
      </w:r>
    </w:p>
    <w:p>
      <w:r>
        <w:t>b. Le Tribunal fédéral a également examiné la jurisprudence rendue par la Cour européenne des droits de l’homme (ci-après : CourEDH ; ATF 140 I 125 consid. 3.4 et 3.5 p. 134 ss), que la Suisse s'est engagée à respecter (art. 46 ch. 1 CEDH et 122 LTF).</w:t>
      </w:r>
    </w:p>
    <w:p>
      <w:r>
        <w:t>Selon la CourEDH, en cas de surpopulation carcérale, la restriction de l'espace de vie individuel réservé au détenu ne suffit pas pour conclure à une violation de l'art. 3 CEDH, une telle violation n'étant retenue que lorsque les personnes concernées disposent individuellement de moins de 3 m2 (ACEDH Torreggiani et autres c. Italie du 8 janvier 2013, req. nos 43517/09, 46882/09, 55400/09, 57875/09, 61535/09, 35315/10 et 37818/10, § 68 ; ACEDH Canali c. France du 25 avril 2013, req. no 40119/09, § 49 ; ACEDH Sulejmanovic c. Italie du 16 juillet 2009, req. no 22635/03, § 43 ; ACEDH Idalov c. Russie du 22 mai 2012, req. no 5826/03, § 101). Dans les cas où</w:t>
      </w:r>
    </w:p>
    <w:p>
      <w:r>
        <w:t>- 16/19 - A/325/2014 la surpopulation n'est pas importante au point de soulever à elle seule un problème de violation de la CEDH, les autres aspects des conditions de la détention doivent être pris en compte, comme l'aération disponible, la qualité du chauffage, le respect des règles d'hygiène de base et la possibilité d'utiliser les toilettes de manière privée (ACEDH Canali précité, §§ 52 et 53). Dans des affaires où chaque détenu disposait de 3 à 4 m2, une violation de l'art. 3 CEDH a été retenue parce que le manque d'espace s'accompagnait, par exemple, d'un manque de ventilation et de lumière (ACEDH Babouchkine c. Russie du 18 octobre 2007, req. no 67253/01, § 44), d'un accès limité à la promenade en plein air et d'un confinement en cellule (ACEDH Istvan Gabor Kovacs c. Hongrie du</w:t>
      </w:r>
    </w:p>
    <w:p>
      <w:r>
        <w:rPr>
          <w:b/>
        </w:rPr>
        <w:t>E. 17</w:t>
      </w:r>
    </w:p>
    <w:p>
      <w:r>
        <w:t>janvier 2012, req. no 15707/10, § 26) ou d’une absence d'espace pour se mouvoir combinée à une promenade quotidienne d'une heure dans une cour de taille réduite pendant plus de deux ans, à une faible ventilation, à de la lumière réduite dans la cellule et à l’absence d’intimité offerte par les lavabos (ACEDH Makarov c. Russie du 12 mars 2009, req. no 15217/07, §§ 94 à 98).</w:t>
      </w:r>
    </w:p>
    <w:p>
      <w:r>
        <w:t>Ainsi, parmi les facteurs supplémentaires pris en compte par la CourEDH - par rapport à l'exiguïté des cellules - figurent notamment l'accès insuffisant à la lumière et à l'air naturels, la chaleur excessive associée à un manque de ventilation, le partage des lits entre prisonniers, les installations sanitaires dans la cellule et visibles de tous et l'absence de traitement adéquat pour les pathologies du détenu ainsi que la durée de la détention (ATF 140 I 125 consid. 3.5 p. 135 s.).</w:t>
      </w:r>
    </w:p>
    <w:p>
      <w:r>
        <w:t>c. Après examen des jurisprudences fédérale et de la CourEDH, le Tribunal fédéral a retenu, en matière de détention provisoire, qu’en cas de surpopulation carcérale telle que la connaît la prison de Champ-Dollon, l'occupation d'une cellule dite individuelle par trois détenus - chacun disposant d'un espace individuel de 4 m2, restreint du mobilier - était une condition de détention difficile, laquelle n’était cependant pas constitutive d'une violation de l'art. 3 CEDH et ne représentait pas un traitement dégradant portant atteinte à la dignité humaine des prévenus. En revanche, l'occupation d'une cellule dite triple par six détenus avec une surface individuelle de 3,83 ou 3,84 m2 - restreinte encore par le mobilier - pouvait constituer une violation de l'art. 3 CEDH si elle s'étendait sur une longue période et s'accompagnait d'autres mauvaises conditions de détention. Il fallait alors considérer la période pendant laquelle le recourant avait été détenu dans les conditions incriminées. Une durée qui s'approchait de trois mois consécutifs apparaissait comme la limite au-delà de laquelle ces conditions de détention ne pouvaient plus être tolérées. En effet, si les conditions de détention provisoire pouvaient être plus restrictives lorsque les risques de fuite, de collusion et de récidive étaient plus élevés, ou lorsque l'ordre et la sécurité dans la prison étaient particulièrement mis en danger, cela ne valait pas lorsque la durée de la détention provisoire était de l'ordre de trois mois. Ce délai ne pouvait cependant pas être compris comme un délai au sens strict du terme mais comme une durée indicative à prendre en compte dans le cadre de l'appréciation globale</w:t>
      </w:r>
    </w:p>
    <w:p>
      <w:r>
        <w:t>- 17/19 - A/325/2014 de toutes les conditions concrètes de détention (ATF 140 I 125 précité consid. 3.6.3 p. 138 ; arrêts du Tribunal fédéral 1B_239/2015 du 29 septembre 2015 consid. 2.4 ; 1B_152/2015 du 29 septembre 2015 consid. 2.4 ; 6B_14/2014 du 7 avril 2015 consid. 5.4.2.1 ; 1B_387/2014 du 22 décembre 2014 consid. 2.1). 10) En l’espèce, pour le calcul de l’espace disponible, le recourant reproche au DSE de ne pas avoir déduit des surfaces prises en compte le mobilier des cellules dans lesquelles il a été incarcéré. Le recourant ne saurait toutefois être suivi sur ce point. En effet, dans les arrêts susmentionnés, le Tribunal fédéral s’est expressément référé à des surfaces, sans déduction du mobilier. Il convient dès lors d’examiner les conditions de détention du recourant en prenant en considération les surfaces ressortant des extraits du dossier architectural de l’été 2014, même s’il convient de garder à l’esprit, dans le cadre de l’examen des circonstances d’ensemble, le fait que cet espace est réduit par la présence du mobilier.</w:t>
      </w:r>
    </w:p>
    <w:p>
      <w:r>
        <w:t>Le recourant a été incarcéré du 7 septembre au 28 octobre 2013 dans la cellule no 220. Il s’agissait d’une cellule quintuple, toutefois occupée par six détenus, sous réserve des 21 et 30 septembre 2013, jours durant lesquels elle n’a hébergé que cinq détenus. La surface individuelle, après déduction des sanitaires, dont le recourant a disposé durant les cinquante-deux jours dans cette cellule s’élevait au minimum à 6,65 m2. Le 29 octobre 2013, il a rejoint la cellule no 1'208, où il est resté jusqu’au 1er novembre 2013, avec deux codétenus. Le recourant a disposé, durant quatre jours, d’un espace individuel, sanitaires déduits, de 4 m2. Finalement, du 2 novembre au 23 décembre 2013, il a été détenu dans la cellule no 135, également avec deux codétenus. Son espace individuel après déduction des sanitaires s’est élevé à 3,39 m2 durant cinquante-deux jours.</w:t>
      </w:r>
    </w:p>
    <w:p>
      <w:r>
        <w:t>Par conséquent, du 7 septembre au 1er novembre 2013, le recourant disposait d’un espace individuel de 4 m2 ou plus, de sorte que ses conditions de détention durant cette période ne représentaient en tout état de cause pas un traitement dégradant portant atteinte à sa dignité humaine.</w:t>
      </w:r>
    </w:p>
    <w:p>
      <w:r>
        <w:t>S’il a ensuite rejoint une cellule dans laquelle il ne disposait que d’une surface individuelle inférieure à 4 m2, celle-ci était supérieure à 3 m2, soit 3,39 m2, cette situation avait duré moins de deux mois au jour du prononcé de la décision attaquée. Par ailleurs, en dépit de la surpopulation carcérale, la prison a réussi à maintenir un état d'hygiène, d'aération, et d'approvisionnement en eau, nourriture, chauffage et lumière convenable, l'intimité des détenus étant en outre préservée par l'existence d'une véritable séparation entre l'espace de vie et les sanitaires (ATF 140 I 125 consid. 3.6.3 p. 139 ; arrêts du Tribunal fédéral 1B_404/2013 précité consid. 2.6.3 ; 1B_ 369/2013 précité consid. 3.6.3 ; 1B_336/2013 précité consid. 4.6.3 ; 1B_335/2013 précité consid. 3.6.3). Les plans figurant dans le dossier architectural de l’été 2014 et les constats effectués par le juge délégué de la chambre administrative lors du transport sur place confirment ce qui précède.</w:t>
      </w:r>
    </w:p>
    <w:p>
      <w:r>
        <w:t>- 18/19 - A/325/2014 Par ailleurs, si le juge délégué a noté, au cours de son transport sur place, la présence de meubles dans la cellule no 135, il a également constaté qu’ils ne réduisaient pas excessivement l’espace pour se mouvoir, la télévision étant notamment fixée en hauteur directement au mur et le frigo placé sous la table, de manière à préserver au maximum l’espace disponible. La période de détention du recourant dans la cellule no 135 ne porte dès lors pas atteinte à la dignité humaine du recourant. La durée très limitée des périodes que le recourant était autorisé à passer hors de la cellule - une heure de promenade en plein air par jour - a certes aggravé sa situation, mais, compte tenu du nombre de jours consécutifs passés dans ces conditions au jour du prononcé de la décision litigieuse, soit cinquante- deux jours, elle n'entraîne cependant pas une violation de l'art. 3 CEDH, étant au surplus relevé que le recourant a refusé à trois reprises un travail en atelier.</w:t>
      </w:r>
    </w:p>
    <w:p>
      <w:r>
        <w:t>En définitive, il découle de ce qui précède qu’au moment de la décision en constatation de l’autorité intimée, le 23 décembre 2013, les conditions d'incarcération en exécution de peine du recourant, pour difficiles qu'elles furent, ne violaient pas les exigences constitutionnelles et l'art. 3 CEDH. L’autorité intimée a dès lors à bon droit constaté la licéité des conditions de détention du recourant au jour du prononcé de la décision. 11) Dans ces circonstances, la décision du DSE est conforme au droit et le recours sera rejeté. 12) Du fait de la nature du litige, aucun émolument ne sera perçu (art. 87 al. 1 LPA ; art. 12 al. 1 du règlement sur les frais, émoluments et indemnités en procédure administrative du 30 juillet 1986 - RFPA - E 5 10.03). Vu l’issue du litige, aucune indemnité de procédure ne sera allouée au recourant, pas plus qu’au DSE, qui dispose d’un service juridique (art. 87 al. 2 LPA). 13) Vu son contenu, une copie du présent arrêt sera transmise, pour information, à la chambre pénale de recours.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