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ATA/1143/2025 vom 14. Oktober 2025</w:t>
      </w:r>
    </w:p>
    <w:p>
      <w:r>
        <w:t>GE Cour de justice, 2025-10-14, FR</w:t>
      </w:r>
    </w:p>
    <w:p>
      <w:r>
        <w:rPr>
          <w:b/>
        </w:rPr>
        <w:t xml:space="preserve">Quelle: </w:t>
      </w:r>
      <w:r>
        <w:t>https://mcp.opencaselaw.ch/entscheid/ge_gerichte_ATA_1143_2025</w:t>
      </w:r>
    </w:p>
    <w:p>
      <w:r>
        <w:t>FR: GE_GERICHTE ATA/1143/2025 du 14 octobre 2025</w:t>
      </w:r>
    </w:p>
    <w:p>
      <w:r>
        <w:t>IT: GE_GERICHTE ATA/1143/2025 del 14 ottobre 2025</w:t>
      </w:r>
    </w:p>
    <w:p>
      <w:pPr>
        <w:pStyle w:val="Heading2"/>
      </w:pPr>
      <w:r>
        <w:t>Regeste</w:t>
      </w:r>
    </w:p>
    <w:p>
      <w:r>
        <w:t>Résumé: Rappel d’impôt confirmé au motif que la société recourante n’a pas comptabilisé l’acquisition de participations dans plusieurs sociétés. La recourante échoue à démontrer que l’actionnaire était un tiers ou qu’elle-même n’avait agi qu’à titre fiduciaire. Principe et quotité des amendes pour soustraction confirmés. Recours rejeté.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Vu l’issue du litige, un émolument de CHF 4’000.- sera mis à la charge de la recourante (art. 87 al. 1 LPA) et aucune indemnité de procédure ne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