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ATA/113/2020 vom 3. Februar 2020</w:t>
      </w:r>
    </w:p>
    <w:p>
      <w:r>
        <w:t>GE Cour de justice, 2020-02-03, FR</w:t>
      </w:r>
    </w:p>
    <w:p>
      <w:r>
        <w:rPr>
          <w:b/>
        </w:rPr>
        <w:t xml:space="preserve">Quelle: </w:t>
      </w:r>
      <w:r>
        <w:t>https://mcp.opencaselaw.ch/entscheid/ge_gerichte_ATA_113_2020</w:t>
      </w:r>
    </w:p>
    <w:p>
      <w:r>
        <w:t>FR: GE_GERICHTE ATA/113/2020 du 3 février 2020</w:t>
      </w:r>
    </w:p>
    <w:p>
      <w:r>
        <w:t>IT: GE_GERICHTE ATA/113/2020 del 3 febbraio 2020</w:t>
      </w:r>
    </w:p>
    <w:p>
      <w:pPr>
        <w:pStyle w:val="Heading2"/>
      </w:pPr>
      <w:r>
        <w:t>Erwägungen</w:t>
      </w:r>
    </w:p>
    <w:p>
      <w:r>
        <w:rPr>
          <w:b/>
        </w:rPr>
        <w:t>E. 11</w:t>
      </w:r>
    </w:p>
    <w:p>
      <w:r>
        <w:t>septembre 2019 du Tribunal de police (P/1______) déclarant Mme A______ coupable de gestions déloyales aggravées, la condamnant à une peine privative de liberté de neuf mois avec sursis pendant trois ans, la résiliation des rapports de service était envisagée, en raison de la rupture du lien de confiance ; au regard de sa condamnation pénale, il n'était pas souhaitable que l'intéressée poursuive son activité ;</w:t>
      </w:r>
    </w:p>
    <w:p>
      <w:r>
        <w:t>vu le recours formé le 23 décembre 2019 par Mme A______ auprès de la chambre administrative de la Cour de justice, concluant à la restitution de l'effet suspensif, à l'annulation de l'arrêté attaqué, à sa réintégration à son poste et à l'allocation d'une indemnité de CHF 3'000.- pour les frais occasionnés par la procédure ;</w:t>
      </w:r>
    </w:p>
    <w:p>
      <w:r>
        <w:t>qu’elle a fait valoir qu’étant en poste détaché et donc plus dans le poste dans lequel une infraction pénale lui était reprochée, rien ne justifiait de la libérer de son obligation de travailler ; elle contestait les faits retenus dans le jugement du Tribunal de police, contre lequel elle avait formé appel ; alors même que les faits en cause étaient connus du Conseil d'État de longue date, il avait continué à lui accorder sa confiance pendant quatorze mois en lui permettant de travailler dès octobre 2018 ; il ne pouvait ainsi justifier une rupture du lien de confiance ni sanctionner d'éventuelles violations des devoirs du personnel par une nouvelle procédure disciplinaire déguisée en résiliation des rapports de service, étant relevé que la révocation prononcée pour les mêmes faits avait été annulée par la chambre de céans ;</w:t>
      </w:r>
    </w:p>
    <w:p>
      <w:r>
        <w:t>qu’elle subissait un préjudice irréparable ; le fait de travailler à nouveau pour l'État lui avait permis de panser les plaies créées par les décisions blessantes précédentes et lui permettait de rester en bonne santé ; la libération de l'obligation de travailler portait atteinte à son honneur ;</w:t>
      </w:r>
    </w:p>
    <w:p>
      <w:r>
        <w:t>que le Conseil d’État, se déterminant sur demande de restitution de l'effet suspensif, a conclu à l'irrecevabilité du recours, subsidiairement au rejet de la demande de restitution de l'effet suspensif ;</w:t>
      </w:r>
    </w:p>
    <w:p>
      <w:r>
        <w:t>que dans sa réplique sur effet suspensif, la recourante a persisté dans ses conclusions ;</w:t>
      </w:r>
    </w:p>
    <w:p>
      <w:r>
        <w:t>que par courrier du 23 janvier 2020, les parties ont été informées que la cause était gardée à juger sur effet suspensif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w:t>
      </w:r>
    </w:p>
    <w:p>
      <w:r>
        <w:t>- 3/5 - A/4730/2019</w:t>
      </w:r>
    </w:p>
    <w:p>
      <w:r>
        <w:t>qu'aux termes de l'art. 66 de la loi sur la procédure administrative du</w:t>
      </w:r>
    </w:p>
    <w:p>
      <w:r>
        <w:rPr>
          <w:b/>
        </w:rPr>
        <w:t>E. 12</w:t>
      </w:r>
    </w:p>
    <w:p>
      <w:r>
        <w:t>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la chambre de céans dispose dans l'octroi de mesures provisionnelles d'un large pouvoir d'appréciation (ibidem) ;</w:t>
      </w:r>
    </w:p>
    <w:p>
      <w:r>
        <w:t>que les décisions incidentes ne sont susceptibles de recours que si elles peuvent causer un préjudice irréparable ou si l'admission du recours peut conduire immédiatement à une décision finale qui permet d'éviter une procédure probatoire longue et coûteuse (art. 57 let. c LPA) ; qu’un préjudice est irréparable lorsqu’il ne peut être ultérieurement réparé par une décision finale entièrement favorable au recourant (ATF 138 III 46 consid. 1.2 ; 134 III 188 consid. 2.1 et 2.2) ; un intérêt économique peut constituer un tel préjudice (ATF 127 II 132 consid. 2a ; 126 V 244 consid. 2c) ;</w:t>
      </w:r>
    </w:p>
    <w:p>
      <w:r>
        <w:t>qu’en l’espèce, il convient, en premier lieu, de relever que la recevabilité du recours ne paraît pas manifeste ; en effet, la recourante conserve son salaire alors qu’elle est libérée de son obligation de travail, de sorte qu’elle ne subit pas de préjudice d’ordre financier ;</w:t>
      </w:r>
    </w:p>
    <w:p>
      <w:r>
        <w:t>que, par ailleurs, la recourante bien qu’elle soutienne devoir travailler pour rester en bonne santé, ne rend, prima facie et sans préjudice de l’examen au fond, pas vraisemblable que la suspension querellée serait susceptible de lui causer une atteinte à sa santé ;</w:t>
      </w:r>
    </w:p>
    <w:p>
      <w:r>
        <w:t>qu’en outre, selon la jurisprudence de la chambre de céans, l’éventuelle atteinte réputationnelle pouvait être réparée par la décision finale favorable à la recourante</w:t>
      </w:r>
    </w:p>
    <w:p>
      <w:r>
        <w:t>- 4/5 - A/4730/2019 (ATA/1559/2019 du 21 octobre 2019; ATA/1013/2018 précité ; ATA/1624/2017 du 19 décembre 2017) ;</w:t>
      </w:r>
    </w:p>
    <w:p>
      <w:r>
        <w:t>qu’il convient également de souligner l’intérêt public de l’État à ce qu’une fonctionnaire condamnée pour des infractions commises dans l’exercice de ses fonctions ne continue pas à officier, quand bien même la condamnation pénale ne serait pas définitive ; il en va, en effet, de la crédibilité et de la confiance que le public peut placer dans les représentants de l’État ;</w:t>
      </w:r>
    </w:p>
    <w:p>
      <w:r>
        <w:t>qu’au vu de ce qui précède, il n’y a pas lieu de restituer l’effet suspensif au recours ;</w:t>
      </w:r>
    </w:p>
    <w:p>
      <w:r>
        <w:t>qu’il sera statué sur les frais de la présente décision avec le fond. LA CHAMBRE ADMINISTRATIVE refuse de restituer l'effet suspensif au recours ; réserve le sort des frais de la procédure jusqu'à droit jugé au fond ; dit que, conformément aux art. 82 ss de la loi fédérale sur le Tribunal fédéral du</w:t>
      </w:r>
    </w:p>
    <w:p>
      <w:r>
        <w:rPr>
          <w:b/>
        </w:rPr>
        <w:t>E. 17</w:t>
      </w:r>
    </w:p>
    <w:p>
      <w:r>
        <w:t>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David Metzger, avocat de la recourante, ainsi qu'au Conseil d'État.</w:t>
      </w:r>
    </w:p>
    <w:p>
      <w:r>
        <w:t>La présidente :</w:t>
      </w:r>
    </w:p>
    <w:p>
      <w:r>
        <w:t>F. Payot Zen-Ruffinen</w:t>
      </w:r>
    </w:p>
    <w:p>
      <w:r>
        <w:t>- 5/5 - A/4730/2019</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