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ATA/113/2018 vom 6. Februar 2018</w:t>
      </w:r>
    </w:p>
    <w:p>
      <w:r>
        <w:t>GE Cour de justice, 2018-02-06, FR</w:t>
      </w:r>
    </w:p>
    <w:p>
      <w:r>
        <w:rPr>
          <w:b/>
        </w:rPr>
        <w:t xml:space="preserve">Quelle: </w:t>
      </w:r>
      <w:r>
        <w:t>https://mcp.opencaselaw.ch/entscheid/ge_gerichte_ATA_113_2018</w:t>
      </w:r>
    </w:p>
    <w:p>
      <w:r>
        <w:t>FR: GE_GERICHTE ATA/113/2018 du 6 février 2018</w:t>
      </w:r>
    </w:p>
    <w:p>
      <w:r>
        <w:t>IT: GE_GERICHTE ATA/113/2018 del 6 febbraio 2018</w:t>
      </w:r>
    </w:p>
    <w:p>
      <w:pPr>
        <w:pStyle w:val="Heading2"/>
      </w:pPr>
      <w:r>
        <w:t>Regeste</w:t>
      </w:r>
    </w:p>
    <w:p>
      <w:r>
        <w:t>Résumé: Des raisons familiales majeures existent permettant d'autoriser un regroupement familial différé. Recours admis.</w:t>
      </w:r>
    </w:p>
    <w:p>
      <w:pPr>
        <w:pStyle w:val="Heading2"/>
      </w:pPr>
      <w:r>
        <w:t>Erwägungen</w:t>
      </w:r>
    </w:p>
    <w:p>
      <w:r>
        <w:rPr>
          <w:b/>
        </w:rPr>
        <w:t>E. 12</w:t>
      </w:r>
    </w:p>
    <w:p>
      <w:r>
        <w:t>septembre 1985 - LPA - E 5 10).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w:t>
      </w:r>
    </w:p>
    <w:p>
      <w:r>
        <w:t>Il n'en résulte toutefois pas que l'autorité est libre d'agir comme bon lui semble, puisqu'elle ne peut pas faire abstraction des principes constitutionnels régissant le droit administratif, notamment la légalité, la bonne foi, l'égalité de</w:t>
      </w:r>
    </w:p>
    <w:p>
      <w:r>
        <w:t>- 7/12 - A/3659/2015 traitement, la proportionnalité et l'interdiction de l'arbitraire (ATA/10/2017 du 10 janvier 2017 consid. 3a). 3) a. À teneur de l’art. 42 al. 1 de la loi fédérale sur les étrangers du 16 décembre 2005 (LEtr - RS 142.20), les enfants célibataires de moins de 18 ans d’un ressortissant suisse ont droit à l’octroi d’une autorisation de séjour et à la prolongation de sa durée de validité pour autant qu’ils vivent en ménage commun avec lui.</w:t>
      </w:r>
    </w:p>
    <w:p>
      <w:r>
        <w:t>b. Sauf exception non réalisée en l’espèce, le regroupement familial doit être demandé dans les cinq ans, et, pour les enfants de plus de douze ans, le regroupement doit intervenir dans un délai de douze mois (art. 47 al. 1 LEtr et 73 al. 1 de l’ordonnance relative à l'admission, au séjour et à l'exercice d'une activité lucrative du 24 octobre 2007 (OASA - RS 142.201). Pour les membres de la famille de ressortissants suisses, les délais commencent à courir au moment de leur entrée en Suisse ou lors de l'établissement du lien familial (art. 47 al. 3 let. b LEtr). Les délais prévus à l'art. 47 al. 1 LEtr commencent à courir à l'entrée en vigueur de la LEtr, le 1er janvier 2008, dans la mesure où l'entrée en Suisse ou l'établissement du lien familial sont antérieurs à cette date (art. 126 al. 3 LEtr). Passé le délai des art. 47 al. 1 LEtr et 73 al. 1 OASA, le regroupement familial différé n'est autorisé que pour des raisons familiales majeures. Si nécessaire, les enfants de plus de 14 ans sont entendus (art 47 al. 4 LEtr et 73 al. 3 OASA).</w:t>
      </w:r>
    </w:p>
    <w:p>
      <w:r>
        <w:t>c.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(ATF 136 II 497 consid. 3.4 ; arrêt du Tribunal fédéral 2C_84/2010 du 1er octobre 2010 consid. 3.4 ; secrétariat d’État aux migrations [ci-après : SEM], Directives et commentaires, Domaine des étrangers, 2013, état au 3 juillet 2017, n. 6.10.1).</w:t>
      </w:r>
    </w:p>
    <w:p>
      <w:r>
        <w:t>d. Les étrangers qui ont sans succès sollicité une première demande de regroupement familial alors qu’ils ne disposaient d’aucun droit à cet égard peuvent, lors de la survenance d’une circonstance leur ouvrant un tel droit, former une nouvelle demande pour autant que la première ait été déposée dans les délais de l’art. 47 LEtr et que la seconde demande intervienne dans ces mêmes délais à compter de l’ouverture du droit (ATF 137 II 393 consid. 3.3). 4)</w:t>
      </w:r>
    </w:p>
    <w:p>
      <w:r>
        <w:t>En l’espèce, la demande de regroupement familial a été déposée pour la première fois en 2013, alors que B______ était âgé de plus de 12 ans. Dans la mesure où le recourant aurait été en droit de déposer une telle demande aussi bien</w:t>
      </w:r>
    </w:p>
    <w:p>
      <w:r>
        <w:t>- 8/12 - A/3659/2015 lorsqu’il était titulaire d’un permis de séjour que d’établissement, avant d’obtenir la nationalité suisse, que suite à cette naturalisation, le délai de douze mois de l’art. 47 al. 1 LEtr était échu.</w:t>
      </w:r>
    </w:p>
    <w:p>
      <w:r>
        <w:t>Des lors, seul un regroupement familial différé, au sens de l’art. 47 al. 4 LEtr, aurait été envisageable. 5) a. Aux termes de l’art. 75 OASA, des raisons familiales majeures pour un regroupement familial différé peuvent être invoquées lorsque le bien de l’enfant ne peut être garanti que par un regroupement familial en Suisse.</w:t>
      </w:r>
    </w:p>
    <w:p>
      <w:r>
        <w:t>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(FF 2002 3469 p. 3549), les autorités ne devant, au surplus, faire usage de l’art. 47 al. 4 LEtr qu’avec retenue (SEM, op. cit., n. 6.10.4 ; arrêts du Tribunal fédéral 2C_897/2013 du 16 avril 2014 consid. 2.2 ; 2C_1198/2012 du 26 mars 2013 consid. 4.2 ; 2C_555/2012 du 19 novembre 2012 consid. 2.3).</w:t>
      </w:r>
    </w:p>
    <w:p>
      <w:r>
        <w:t>b.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w:t>
      </w:r>
    </w:p>
    <w:p>
      <w:r>
        <w:t>- 9/12 - A/3659/2015 importantes que son âge sera avancé (ATF 133 II 6 consid. 3.1.1 ; ATF 129 II 11 consid. 3.3.2). 6)</w:t>
      </w:r>
    </w:p>
    <w:p>
      <w:r>
        <w:t>En l’espèce, la chambre administrative tient en premier lieu à relever et à saluer les efforts faits par le recourant pour se former et devenir autonome financièrement, dont le succès apparaît très probable. De même, l’intégration du fils du recourant, que cela soit au niveau de la formation professionnelle ou d’un point de vue social, est de qualité.</w:t>
      </w:r>
    </w:p>
    <w:p>
      <w:r>
        <w:t>Il est aussi établi que le recourant a toujours maintenu avec son fils une relation, qui ne se limitait pas au financement des études de ce dernier, lorsqu’il était au Maroc.</w:t>
      </w:r>
    </w:p>
    <w:p>
      <w:r>
        <w:t>D’autre part, les documents produits au cours de la procédure, l’attestation rédigée par la mère du fils du recourant, le fait que ce dernier ait dû aller vivre chez sa grand-mère, très âgée, pendant la dernière année où il était au Maroc, ainsi que les indications et explications données lors de l’audience de comparution personnelle - dont la chambre administrative a été convaincue de la véracité - permettent d’admettre que, dans les circonstances très particulières du cas d’espèce, des raisons familiales majeures existent, permettant d’autoriser un regroupement familial différé au sens des dispositions rappelées ci-dessus. 7)</w:t>
      </w:r>
    </w:p>
    <w:p>
      <w:r>
        <w:t>Le recours sera en conséquence admis. Le jugement du TAPI du 3 juin 2016 et la décision initiale de l’OCPM du 15 septembre 2015 seront annulés. La cause sera retournée à l’OCPM pour qu’il délivre l’autorisation de séjour ad hoc à B______ , fils du recourant. 8)</w:t>
      </w:r>
    </w:p>
    <w:p>
      <w:r>
        <w:t>Vu l’issue du litige, aucun émolument ne sera mis à la charge du recourant (art. 87 al. 1 LPA). Une indemnité de procédure de CHF 1'500.- sera alloué au recourant, à la charge de l’État de Genève, à titre de participation aux frais de procédure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