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ATA/113/2010 vom 16. Februar 2010</w:t>
      </w:r>
    </w:p>
    <w:p>
      <w:r>
        <w:t>GE Cour de justice, 2010-02-16, FR</w:t>
      </w:r>
    </w:p>
    <w:p>
      <w:r>
        <w:rPr>
          <w:b/>
        </w:rPr>
        <w:t xml:space="preserve">Quelle: </w:t>
      </w:r>
      <w:r>
        <w:t>https://mcp.opencaselaw.ch/entscheid/ge_gerichte_ATA_113_2010</w:t>
      </w:r>
    </w:p>
    <w:p>
      <w:r>
        <w:t>FR: GE_GERICHTE ATA/113/2010 du 16 février 2010</w:t>
      </w:r>
    </w:p>
    <w:p>
      <w:r>
        <w:t>IT: GE_GERICHTE ATA/113/2010 del 16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La question procédurale soulevée par l’AFC est identique à celle tranchée entre les mêmes parties mais pour une autre période de l’année fiscale 2003 par l’ATA/490/2008, entré en force.</w:t>
      </w:r>
    </w:p>
    <w:p>
      <w:r>
        <w:t>Avant de procéder à une taxation d’office, l’AFC doit notifier une sommation au contribuable "sous forme d’un rappel recommandé avec fixation</w:t>
      </w:r>
    </w:p>
    <w:p>
      <w:r>
        <w:t>- 5/7 - A/4368/2008 d’un délai de dix jours et à ses frais" (art. 37 al. 2 de la loi de procédure fiscale du</w:t>
      </w:r>
    </w:p>
    <w:p>
      <w:r>
        <w:rPr>
          <w:b/>
        </w:rPr>
        <w:t>E. 4</w:t>
      </w:r>
    </w:p>
    <w:p>
      <w:r>
        <w:t>En l’espèce, la commission avait connaissance le 3 novembre 2008, de l’ATA/490/2008 précité, celui-ci ayant été expédié aux parties le 26 septembre 2008.</w:t>
      </w:r>
    </w:p>
    <w:p>
      <w:r>
        <w:t>En statuant comme elle l’a fait, elle s’est conformée à la jurisprudence la plus récente du tribunal de céans.</w:t>
      </w:r>
    </w:p>
    <w:p>
      <w:r>
        <w:rPr>
          <w:b/>
        </w:rPr>
        <w:t>E. 5</w:t>
      </w:r>
    </w:p>
    <w:p>
      <w:r>
        <w:t>Pour Mme F______, l’AFC a, dans ses deux recours successifs devant le Tribunal administratif, produit l’attestation postale requise par la commission, établissant ainsi sans contestation possible qu’elle avait respecté l’art. 37 al. 2 LPFisc.</w:t>
      </w:r>
    </w:p>
    <w:p>
      <w:r>
        <w:t>Au vu de ce qui précède, le tribunal de céans annulera donc la décision de la commission du 3 novembre 2008 et renverra la cause à ladite commission pour qu’elle examine le bien-fondé du bordereau de taxation d’office ICC 2003 du 7 juin 2005 établi au nom de Mme F______ pour la période du 1er janvier au 16 septembre 2003.</w:t>
      </w:r>
    </w:p>
    <w:p>
      <w:r>
        <w:t>- 6/7 - A/4368/2008</w:t>
      </w:r>
    </w:p>
    <w:p>
      <w:r>
        <w:rPr>
          <w:b/>
        </w:rPr>
        <w:t>E. 6</w:t>
      </w:r>
    </w:p>
    <w:p>
      <w:r>
        <w:t>Vu l’issue du litige, il sera statué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