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ATA/1133/2022 vom 8. November 2022</w:t>
      </w:r>
    </w:p>
    <w:p>
      <w:r>
        <w:t>GE Cour de justice, 2022-11-08, FR</w:t>
      </w:r>
    </w:p>
    <w:p>
      <w:r>
        <w:rPr>
          <w:b/>
        </w:rPr>
        <w:t xml:space="preserve">Quelle: </w:t>
      </w:r>
      <w:r>
        <w:t>https://mcp.opencaselaw.ch/entscheid/ge_gerichte_ATA_1133_2022</w:t>
      </w:r>
    </w:p>
    <w:p>
      <w:r>
        <w:t>FR: GE_GERICHTE ATA/1133/2022 du 8 novembre 2022</w:t>
      </w:r>
    </w:p>
    <w:p>
      <w:r>
        <w:t>IT: GE_GERICHTE ATA/1133/2022 del 8 novembre 2022</w:t>
      </w:r>
    </w:p>
    <w:p>
      <w:pPr>
        <w:pStyle w:val="Heading2"/>
      </w:pPr>
      <w:r>
        <w:t>Erwägungen</w:t>
      </w:r>
    </w:p>
    <w:p>
      <w:r>
        <w:rPr>
          <w:b/>
        </w:rPr>
        <w:t>E. 18</w:t>
      </w:r>
    </w:p>
    <w:p>
      <w:r>
        <w:t>février 2020 consid. 3a ; ATA/1832/2019 du 17 décembre 2019 consid. 4 ; cette interprétation est critiquée par certains auteurs qui l'estiment trop restrictive. Selon ces auteurs, point n’est besoin que le dommage allégué soit à proprement parler « irréparable » ; il suffit qu’il soit d’un certain poids (Stéphane GRODECKI/ Romain JORDAN, Code annoté de procédure administrative genevoise, 2017, n. 659 ss ad art. 57 LPA ; Stéphane GRODECKI/Romain JORDAN, Questions choisies de procédure administrative, SJ 2014 II, p. 458 ss).</w:t>
      </w:r>
    </w:p>
    <w:p>
      <w:r>
        <w:t>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w:t>
      </w:r>
    </w:p>
    <w:p>
      <w:r>
        <w:t>- 12/14 - A/403/2022</w:t>
      </w:r>
    </w:p>
    <w:p>
      <w:r>
        <w:t>c.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w:t>
      </w:r>
    </w:p>
    <w:p>
      <w:r>
        <w:t>d.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w:t>
      </w:r>
    </w:p>
    <w:p>
      <w:r>
        <w:rPr>
          <w:b/>
        </w:rPr>
        <w:t>E. 23</w:t>
      </w:r>
    </w:p>
    <w:p>
      <w:r>
        <w:t>mai 2018 ; ATA/955/2016 du 9 novembre 2016 consid. 4).</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4)</w:t>
      </w:r>
    </w:p>
    <w:p>
      <w:r>
        <w:t>En l’espèce, la procédure pendante devant le TAPI, à la suite de la jonction des recours déposés par M. A______ les 2 février 2022, contre la décision du département du 22 décembre 2021, et 6 mai 2022, contre celle sur reconsidération du 25 avril 2022, porte sur la reconnaissance de sa qualité de partie à la procédure et sur l’interdiction « à toute personne » d’utiliser des corps-morts ainsi que d’y amarrer toute barge ou autre bateau, respectivement sur l’annulation le 25 avril 2022 de l’interdiction faite à l’intimée, au terme du ch. 3 de la décision du département du 22 décembre 2021, de déposer des engins de chantier, notamment des grues ou pelles à câble sur ses barges. La conclusion de M. A______ visant à la confirmation « pour le surplus » du ch. 3 du dispositif de la décision du département du 22 décembre 2021 est irrecevable, puisque l’interdiction y contenue lui est favorable. Il ne dispose partant d’aucun intérêt juridique à l’attaquer et ne conclut logiquement ni à sa modification, ni à son annulation (art.</w:t>
      </w:r>
    </w:p>
    <w:p>
      <w:r>
        <w:t>- 13/14 - A/403/2022 60 al. 1 let. b LPA). Cette partie du dispositif fait l’objet d’un recours d’B______, pendant dans la cause A/422/2022.</w:t>
      </w:r>
    </w:p>
    <w:p>
      <w:r>
        <w:t>La perte de vue partielle et momentanée sur le lac Léman ne constitue pas un préjudice irréparable. Le recourant ne le démontre d’ailleurs pas.</w:t>
      </w:r>
    </w:p>
    <w:p>
      <w:r>
        <w:t>Pour le surplus, son intérêt privé à ne pas avoir la vue, depuis sa maison, sur le lac Léman et le Jura partiellement obstruée par ces installations, certes disgracieuses, le temps que la cause soit jugée sur le fond, doit céder le pas à l’intérêt de l’État à pouvoir faire procéder aux travaux lacustres sans attendre l’issue de la procédure administrative.</w:t>
      </w:r>
    </w:p>
    <w:p>
      <w:r>
        <w:t>Le recours sera ainsi déclaré irrecevable. 5)</w:t>
      </w:r>
    </w:p>
    <w:p>
      <w:r>
        <w:t>Vu l’issue du litige, un émolument de CHF 1'500.- sera mis à la charge de M. A______ (art. 87 al. 1 LPA). Une indemnité de procédure de CHF 1'500.- sera allouée à B______, qui y a conclu, à la charge de M. A______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