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ATA/112/2018 vom 6. Februar 2018</w:t>
      </w:r>
    </w:p>
    <w:p>
      <w:r>
        <w:t>GE Cour de justice, 2018-02-06, FR</w:t>
      </w:r>
    </w:p>
    <w:p>
      <w:r>
        <w:rPr>
          <w:b/>
        </w:rPr>
        <w:t xml:space="preserve">Quelle: </w:t>
      </w:r>
      <w:r>
        <w:t>https://mcp.opencaselaw.ch/entscheid/ge_gerichte_ATA_112_2018</w:t>
      </w:r>
    </w:p>
    <w:p>
      <w:r>
        <w:t>FR: GE_GERICHTE ATA/112/2018 du 6 février 2018</w:t>
      </w:r>
    </w:p>
    <w:p>
      <w:r>
        <w:t>IT: GE_GERICHTE ATA/112/2018 del 6 febbraio 2018</w:t>
      </w:r>
    </w:p>
    <w:p>
      <w:pPr>
        <w:pStyle w:val="Heading2"/>
      </w:pPr>
      <w:r>
        <w:t>Regeste</w:t>
      </w:r>
    </w:p>
    <w:p>
      <w:r>
        <w:t>Résumé: L'exploitation et la gestion de l'hôtel et du restaurant, même indépendamment du fait qu'ils ne font pas partie des tâches publiques prévues par des dispositions légales ou règlementaires, notamment par des règlements de la ville, ne représentent pas un moyen de réaliser une tâche publique et ne visent pas à atteindre un intérêt public. Il en découle que l'objet du litige n'est pas soumis au droit des marchés publics. La recourante ne peut se prévaloir du principe de la bonne foi, dont les conditions ne sont pas réalisées. La lettre de la ville adressée à la recourante relève du droit privé. Elle n'est donc pas sujette à recours devant la chambre administrative. Recours irrecevable.</w:t>
      </w:r>
    </w:p>
    <w:p>
      <w:pPr>
        <w:pStyle w:val="Heading2"/>
      </w:pPr>
      <w:r>
        <w:t>Erwägungen</w:t>
      </w:r>
    </w:p>
    <w:p>
      <w:r>
        <w:rPr>
          <w:b/>
        </w:rPr>
        <w:t>E. 15</w:t>
      </w:r>
    </w:p>
    <w:p>
      <w:r>
        <w:t>avril 1994 (« Accord GATT/OMC sur les marchés publics » ; AMP - RS 0.632.231.422) ne contiennent une définition du marché public (ATF 125 I 209 consid. 6b).</w:t>
      </w:r>
    </w:p>
    <w:p>
      <w:r>
        <w:t>Un marché public se définit comme l'ensemble des contrats (de droit privé) passés par les pouvoirs publics avec des soumissionnaires (privés) portant sur l'acquisition de fournitures, de constructions ou de services. Il y a donc en principe marché public lorsque la collectivité publique, qui intervient sur le marché libre en tant que « demandeur », acquiert auprès d'une entreprise privée, moyennant le paiement d'un prix, les moyens nécessaires dont elle a besoin pour exécuter ses tâches publiques. D'après une approche fonctionnelle de la notion de marché public, il est indispensable que la collectivité publique passe avec l'entreprise soumissionnaire un contrat synallagmatique lato sensu (ATF 141 II 113 consid. 1.2.1).</w:t>
      </w:r>
    </w:p>
    <w:p>
      <w:r>
        <w:t>La nature des tâches à remplir par l'État ne constitue pas un critère absolu étant donné que la limite entre tâches publiques et tâches privées n'est pas toujours</w:t>
      </w:r>
    </w:p>
    <w:p>
      <w:r>
        <w:t>- 7/13 - A/4349/2017 aisée à tracer (ATF 125 I 209 consid. 6b). La notion de tâche publique doit être définie largement et englobe toutes les activités qui favorisent un intérêt public, sans être nécessairement elles-mêmes des tâches publiques à proprement parler, par exemple un système de vélos en libre service qui représente pour l'autorité concédante un moyen de réaliser une tâche publique, cette prestation visant en effet à promouvoir la mobilité douce en ville afin, notamment, de limiter les nuisances liées au trafic motorisé (ATF 135 II 49 consid. 5.2.2).</w:t>
      </w:r>
    </w:p>
    <w:p>
      <w:r>
        <w:t>c. Il y a un monopole étatique lorsque l’État – ou une autre collectivité publique – a seul le droit d’exercer une certaine activité économique ou de faire exercer cette activité par des tiers. Cette activité est alors soustraite aux lois du marché et ne bénéficie plus de la liberté économique (Thierry TANQUEREL, Manuel de droit administratif, 2011, n. 1030).</w:t>
      </w:r>
    </w:p>
    <w:p>
      <w:r>
        <w:t>En l’occurrence, il n’est pas contesté par les parties, ni contestable, que la ville ne dispose pas d’un monopole sur l’activité économique qui consiste en l’exploitation d’hôtels, de nombreux autres hôtels et restaurants sur son territoire appartenant à des privés qui sont libres de les gérer comme bon leur semble. Partant, l’art. 2 al. 7 LMI – qui prescrit que la transmission de l’exploitation d’un monopole cantonal ou communal à des entreprises privées doit faire l’objet d’un appel d’offres et ne peut discriminer des personnes ayant leur établissement ou leur siège en Suisse – ne trouve pas application.</w:t>
      </w:r>
    </w:p>
    <w:p>
      <w:r>
        <w:t>d. En vertu de l’art. 8 de la loi sur la gestion administrative et financière de l’État du 4 octobre 2013 (LGAF - D 1 05) – qui est applicable aux seules autorités cantonales (art. 3) mais dont on peut s’inspirer s’agissant de la ville –, le patrimoine administratif est composé des actifs détenus par l'État pour l'accomplissement direct des tâches publiques (al. 1) ; le patrimoine financier est composé des actifs détenus par l'État pour en retirer des revenus ou pour valoriser le capital et qui peuvent être aliénés sans porter préjudice à l'accomplissement des tâches publiques (al. 2).</w:t>
      </w:r>
    </w:p>
    <w:p>
      <w:r>
        <w:t>Relèvent du patrimoine administratif de l’État toutes les choses publiques servant directement, c’est-à-dire par leur utilisation en tant que telle, à remplir une tâche publique. En font partie les immeubles qui abritent les écoles, les hôpitaux, les gares, les musées, les bibliothèques et, de manière générale, les établissements publics et les services administratifs de l’État (ATF 143 I 37 consid. 6.1 ; 138 I 274 consid. 2.3.2 ; arrêts du Tribunal fédéral 2C_719/2016 du 24 août 2017 consid. 3.3.1 ; 4A_250/2015 du 21 juillet 2015 consid. 4.1 ; 1C_379/2014 du 29 janvier 2015 consid. 5.3). La gestion du patrimoine administratif a pour but la réalisation de tâches publiques (ATA/1404/2017 du 17 octobre 2017 consid. 3b ; ATA/495/2014 du 24 juin 2014 confirmé par l’arrêt du Tribunal fédéral 1C_379/2014 précité). Appartiennent en revanche au patrimoine financier de l’État les biens qui ne servent qu’indirectement, soit grâce à leur valeur en capital et à leur rendement, à remplir des tâches publiques et pouvant, à ce titre, produire</w:t>
      </w:r>
    </w:p>
    <w:p>
      <w:r>
        <w:t>- 8/13 - A/4349/2017 un revenu, voire être réalisés. Les biens appartenant au patrimoine financier sont en principe gérés selon le droit privé (ATF 103 II 227 consid. 3 ; arrêts du Tribunal fédéral 4A_250/2015 précité consid. 4.1 ; 5A_78/2011 du 15 juin 2011 consid. 2.3.2). Lorsque l’État gère son patrimoine financier, il agit comme un particulier et n’accomplit pas une tâche publique (arrêts du Tribunal fédéral 4A_250/2015 précité consid. 4.1 ; 1C_379/2014 précité consid. 5.3).</w:t>
      </w:r>
    </w:p>
    <w:p>
      <w:r>
        <w:t>Dans un cas particulier, le Tribunal fédéral a considéré que, même si un immeuble en tant que tel devait appartenir au patrimoine administratif de l'État de Genève du fait que les autres parties du bâtiment étaient utilisées par une école, deux locaux litigieux ne servant pas à l'accomplissement de tâches publiques étatiques déterminées par la loi demeuraient soumis au droit privé et pouvaient faire l'objet d'un contrat de bail de droit privé. En effet, même si l’association recourante avait un but d'aide sociale, elle n'exerçait pas une tâche publique (arrêt du Tribunal fédéral 4A_250/2015 précité consid. 4.2).</w:t>
      </w:r>
    </w:p>
    <w:p>
      <w:r>
        <w:t>e. En définitive, apparaît centrale la question de savoir si l’exploitation et la gestion de ces deux établissements servent un intérêt public, condition notamment à l’assujettissement au droit des marchés publics de l’objet du litige. 3) a. En l’espèce, rien ne permet de mettre en cause les explications de l’intimée selon lesquelles l’hôtel est une « entité autonome » ou « succursale autonome » de celle-ci (Mémoriaux cités par elle) et qu’il est comptabilisé séparément de ses autres actifs, son bénéfice net d’exploitation étant intégré en tant que revenus dans les comptes de fonctionnement de la ville, dans une des rubriques rattachées à la direction financière, intitulée « Immeubles du patrimoine financier ».</w:t>
      </w:r>
    </w:p>
    <w:p>
      <w:r>
        <w:t>À cet égard, pour la Cour des comptes, dans sa prise de position du 27 juillet 2015 concernant des « travaux à [l’hôtel] », produite par l’intimée et résumée dans le communiqué de presse du 8 septembre 2015 produit par la recourante à l’appui de sa réplique, l’appartenance de l’hôtel au patrimoine financier de la ville ne prêtait guère à controverse, puisque l’ensemble des groupes politiques représentés au conseil municipal s’accordaient manifestement à considérer que l’exploitation d’un hôtel haut de gamme n’était pas indispensable à l’accomplissement des tâches publiques municipales (p. 4).</w:t>
      </w:r>
    </w:p>
    <w:p>
      <w:r>
        <w:t>b. Dans cette même prise de position de la Cour des comptes, la contractualisation des travaux d’entretien de l’hôtel – confiés à la société gérante par le contrat de gestion avec autorisation de les sous-traiter aux entreprises de son choix – ne nécessitait pas l’application des procédures prévues par le droit des marchés publics ; toutefois, dans le cas où l’hôtel devrait faire l’objet d’un programme de rénovation complète excédant les opérations d’entretien et de mise à niveau permanente, il serait conforme aux bonnes pratiques de gestion de procéder à la passation d’appel d’offres publics ; il en allait de même de la procédure de renouvellement périodique du contrat de gestion de l’hôtel (p. 8).</w:t>
      </w:r>
    </w:p>
    <w:p>
      <w:r>
        <w:t>- 9/13 - A/4349/2017</w:t>
      </w:r>
    </w:p>
    <w:p>
      <w:r>
        <w:t>Cela étant, cet avis de la Cour des comptes ne prescrit pas une obligation d’appliquer le droit des marchés publics pour un nouveau contrat de gérance, mais recommande une telle application pour certains contrats, sans lier sur ce point la ville et la chambre de céans.</w:t>
      </w:r>
    </w:p>
    <w:p>
      <w:r>
        <w:t>c. L’hôtel et le restaurant ne servent pas, par exemple, à héberger des personnes en difficulté ou à présenter des œuvres culturelles, mais exclusivement à offrir des prestations de haut standing à des clients, notamment des touristes, dans le cadre de contrats de droit privé. Ils visent ainsi l’obtention d’un rendement financier, comme cela ressort des finalités et objectifs exprimées par l’intimée, en ce sens que le repositionnement stratégique de l’hôtel et sa transformation en hôtel LifeStyle ont pour but d’augmenter la fréquentation et la rentabilité de l’établissement (point 2.2 du document d’appel à candidature). Le fait que la ville souhaite également « que l’hôtel soit une carte de visiter pour [elle] et qu’il représente son identité et ses valeurs d’ouverture » (point 2.2) et qu’elle requiert que la définition du concept LifeStyle pour cet établissement se traduise entre autres par « un programme d’activités soutenu qui permette de créer le lien avec la population locale et de dynamiser l’hôtel » (point 2.3) ne constitue pas le but ou un des buts de l’exploitation et de la gestion de l’hôtel, mais une exigence quant à la manière d’atteindre l’objectif du rendement financier. Il n’y a là rien d’insolite, même des propriétaires privés d’hôtels ou de restaurants pouvant souhaiter que leur établissement corresponde par exemple à leur personnalité, à leur tradition familiale, et s’inscrive dans son environnement géographique, social et culturel. Il importe peu que, selon sa réponse au recours, l’intimée, par le biais de la mise au concours, ne se limite pas à solliciter de simples prestations de service mais exige de la part du futur exploitant la mise en place d’un nouveau concept, avec réaménagement complet des lieux ; en effet, même si elle gérait elle-même l’hôtel et le restaurant, cela n’aurait aucune influence sur la question de l’existence éventuelle d’un intérêt public.</w:t>
      </w:r>
    </w:p>
    <w:p>
      <w:r>
        <w:t>En outre, comme cela ressort notamment de leurs sites internet respectifs (« www.metropole.ch » et « www.parcdeseauxvives.ch »), rien ne permet pour le public et les clients de distinguer l’hôtel et le restaurant, en tant qu’ils sont la propriété de la ville, par rapport à d’autres établissements du même type en mains privées, entre autres quant aux prestations offertes.</w:t>
      </w:r>
    </w:p>
    <w:p>
      <w:r>
        <w:t>d. Au regard de ce qui précède, l’exploitation et la gestion de l’hôtel et du restaurant, même indépendamment du fait qu’ils ne font pas partie des tâches publiques prévues par des dispositions légales ou règlementaires, notamment par des règlements de la ville, ne représentent pas un moyen de réaliser une tâche publique et ne visent pas à atteindre un intérêt public.</w:t>
      </w:r>
    </w:p>
    <w:p>
      <w:r>
        <w:t>La doctrine qui est citée par la recourante et qui, notamment, plaide pour une application du droit des marchés publics également dans le cadre de la gestion du patrimoine financier de la collectivité publique, y compris lorsqu’elle exerce</w:t>
      </w:r>
    </w:p>
    <w:p>
      <w:r>
        <w:t>- 10/13 - A/4349/2017 des activités de nature commerciale (Étienne POLTIER, Droit des marchés publics, 2014, n. 166), ou qui considère que pratiquement tout ce que fait la collectivité publique, directement ou indirectement, peut en tout cas être matériellement attribué à l’exécution d’une tâche publique (Martin BEYELER, Der Geltungsanspruch des Vergaberechts, 2012, n. 679), ne saurait permettre de retenir un intérêt public là où il fait défaut.</w:t>
      </w:r>
    </w:p>
    <w:p>
      <w:r>
        <w:t>Pour le reste, on ne saurait tirer en faveur de l’une ou l’autre des positions, pour le droit en vigueur actuellement, des conclusions de l’art. 8 al. 1 1ère phr. du projet d’AIMP du 18 septembre 2014, à teneur duquel un marché public est un contrat conclu entre un ou plusieurs adjudicateurs et un ou plusieurs soumissionnaires en vue d’exécuter une tâche publique.</w:t>
      </w:r>
    </w:p>
    <w:p>
      <w:r>
        <w:t>e. En définitive, l’absence d’un intérêt public permet de retenir non seulement que l’hôtel et le restaurant appartiennent au patrimoine financier de l’intimée, mais aussi que l’objet du présent litige n’est pas soumis au droit des marchés publics. 4)</w:t>
      </w:r>
    </w:p>
    <w:p>
      <w:r>
        <w:t>Aux termes de l'art. 5 al. 3 de la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 134 V 306 consid. 4.2) et leur impose un comportement loyal et digne de confiance dans les actes avec autrui. Ne peut toutefois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traduit in RDAF 2005 II 109 ss, spéc. 120 ; ATA/1004/2015 du 29 septembre 2015 consid. 6d ; Thierry TANQUEREL, op. cit., n. 580).</w:t>
      </w:r>
    </w:p>
    <w:p>
      <w:r>
        <w:t>Ancré à l'art.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(arrêt du Tribunal fédéral</w:t>
      </w:r>
    </w:p>
    <w:p>
      <w:r>
        <w:t>- 11/13 - A/4349/2017 2C_1120/2015 du 26 avril 2017 consid. 6.3.2 ; ATF 137 II 182 consid. 3.6.2 ; 131 II 627 consid. 6.1). 5) a. Dans le cas présent, dans un article de la Tribune de Genève du 14 avril 2016, à la question de la journaliste « L’appel d’offre sera soumis aux marchés publics, alors que ce n’était pas le cas en 1998. Pourquoi est-ce préférable ? », la conseillère administrative a répondu : « Une telle soumission signifie que l’appel d’offres est publié dans la presse internationale, qu’il y a une procédure, avec des grilles de pondération, qui conduit à la désignation de celui qui obtient le contrat ». Puis, en réponse à la question « Est-ce une obligation légale », elle a indiqué : « A priori pas dans ce cas. Nous nous y sommes astreints pour des raisons politiques, afin de pouvoir expliquer notre choix aux élus et aux citoyens. (…) ».</w:t>
      </w:r>
    </w:p>
    <w:p>
      <w:r>
        <w:t>Dans l’Agefi du 26 avril 2016, à la question de la journaliste « Avez-vous procédé à un appel d’offres pour le choix de la gestion provisoire du Métropole? », la conseillère administrative a répondu « Nous avons demandé trois offres », puis, en réponse à la question « Quel est l’agenda de ce cahier des charges ? », elle a dit « Celui-ci sera finalisé au troisième trimestre et l’appel d’offres marchés publics sera lancé ».</w:t>
      </w:r>
    </w:p>
    <w:p>
      <w:r>
        <w:t>b. Cela étant, la recourante ne peut tirer aucun droit ou argument en sa faveur de ces propos de la conseillère administrative.</w:t>
      </w:r>
    </w:p>
    <w:p>
      <w:r>
        <w:t>En effet, ils n’ont pas été prononcés en lien avec la situation de la société intéressée, ce d’autant moins que l’appel à candidature a eu lieu un an plus tard. La recourante ne démontre pas que la conseillère administrative aurait créé par son comportement des attentes légitimes de la part des candidats intéressés. Même si tel avait été le cas, cela n’aurait pas encore signifié que les candidats auraient déposé leurs candidatures uniquement parce que la procédure aurait relevé du droit des marchés publics. La recourante ne le prétend du reste pas pour elle- même, et, de surcroît, les citations de l’article de 14 avril 2016 dans son document de candidature (p. 20) ne mentionnent pas les marchés publics. Par ailleurs, des propos tenus par un responsable dans la presse ne sauraient à eux seuls conduire à l’assujettissement d’un marché au droit des marchés publics.</w:t>
      </w:r>
    </w:p>
    <w:p>
      <w:r>
        <w:t>Par surabondance, comme l’a relevé l’intimée, la recourante, en avril 2017 déjà assistée de son avocat, n’a pas contesté l’appel à candidature de la ville du 3 mai 2017, en particulier l’absence de sa publication dans la Feuille d’avis officielle de la République et canton de Genève (art. 25 RMP) ainsi que l’absence d’un grand nombre des indications requises par les art. 26 à 28 RMP, par exemple les conditions de participation (art. 26 let. e RMP), les critères d’aptitude et/ou les critères d’adjudication énoncés par ordre d’importance (art. 26 let. f RMP), la liste des pièces et documents à joindre à l’offre (art. 27 let. e RMP). Or, de jurisprudence constante, il n’est plus possible, dans le cadre d’un recours contre</w:t>
      </w:r>
    </w:p>
    <w:p>
      <w:r>
        <w:t>- 12/13 - A/4349/2017 une décision d’adjudication, de remettre en question les éléments de l’appel d’offres et les options prises dans ce cadre par le pouvoir adjudicateur. Le soumissionnaire qui entend contester la définition, la pondération ou le manque de précisions des critères d’adjudication doit le faire, pour des raisons de bonne foi, dans le cadre de l’appel d’offres et non au moment de la décision d’adjudication, sans quoi il est forclos (ATA/1443/2017 du 31 octobre 2017 consid. 4e ; ATA/455/2017 du 25 avril 2017, et les références citées). 6)</w:t>
      </w:r>
    </w:p>
    <w:p>
      <w:r>
        <w:t>Vu ce qui précède, la lettre adressée le 18 octobre 2017 par la ville à la recourante n’est pas une décision fondée sur le droit public fédéral, cantonal ou communal (art. 4 al. 1 LPA), en particulier sur le droit des marchés publics (art. 15 AIMP ainsi que 55 et 56 RMP), mais relève du droit privé, et n’est donc pas sujette à recours (art. 57 let. a, b et c LPA ainsi que 15 al. 1 AIMP et 56 al. 1 RMP). La chambre de céans n’est donc pas compétente pour traiter le présent recours.</w:t>
      </w:r>
    </w:p>
    <w:p>
      <w:r>
        <w:t>En conséquence, le recours est irrecevable. 7)</w:t>
      </w:r>
    </w:p>
    <w:p>
      <w:r>
        <w:t>Vu l’issue du litige et compte tenu de la décision sur effet suspensif, un émolument de CHF 1'300.-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