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ATA/112/2014 vom 21. Februar 2014</w:t>
      </w:r>
    </w:p>
    <w:p>
      <w:r>
        <w:t>GE Cour de justice, 2014-02-21, FR</w:t>
      </w:r>
    </w:p>
    <w:p>
      <w:r>
        <w:rPr>
          <w:b/>
        </w:rPr>
        <w:t xml:space="preserve">Quelle: </w:t>
      </w:r>
      <w:r>
        <w:t>https://mcp.opencaselaw.ch/entscheid/ge_gerichte_ATA_112_2014</w:t>
      </w:r>
    </w:p>
    <w:p>
      <w:r>
        <w:t>FR: GE_GERICHTE ATA/112/2014 du 21 février 2014</w:t>
      </w:r>
    </w:p>
    <w:p>
      <w:r>
        <w:t>IT: GE_GERICHTE ATA/112/2014 del 21 febbraio 2014</w:t>
      </w:r>
    </w:p>
    <w:p>
      <w:pPr>
        <w:pStyle w:val="Heading2"/>
      </w:pPr>
      <w:r>
        <w:t>Erwägungen</w:t>
      </w:r>
    </w:p>
    <w:p>
      <w:r>
        <w:rPr>
          <w:b/>
        </w:rPr>
        <w:t>E. 17</w:t>
      </w:r>
    </w:p>
    <w:p>
      <w:r>
        <w:t>décembre 2007 (RMP - L 6 05.01).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(ATA/701/2013 du 22 octobre 2013 consid. 2 ; ATA/683/2013 du 10 octobre 2013 consid. 2 ; B. BOVAY, Recours, effet</w:t>
      </w:r>
    </w:p>
    <w:p>
      <w:r>
        <w:t>- 5/8 - A/284/2014 suspensif et conclusion du contrat, in J.-B. ZUFFEREY /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w:t>
      </w:r>
    </w:p>
    <w:p>
      <w:r>
        <w:t>Ces principes ne sont pas infirmés par l'arrêt du Tribunal fédéral 2C_203/2013 du 25 mars 2013, invoqué par la recourante. 3) 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 4) Le droit des marchés publics est formaliste, comme la chambre de céans l’a déjà rappelé à plusieurs reprises (ATA/535/2011 du 30 août 2011 consid. 5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(ATA/535/2011 précité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 C. MAILLARD / N. MICHEL, Droit des marchés publics, 2002, p. 110 ; O. RODONDI, La gestion de la procédure de soumission, Droit des marchés publics 2008, p. 185 n. 63, p. 186).</w:t>
      </w:r>
    </w:p>
    <w:p>
      <w:r>
        <w:t>- 6/8 - A/284/2014</w:t>
      </w:r>
    </w:p>
    <w:p>
      <w:r>
        <w:t>Les principes précités valent également pour la phase d’examen de la recevabilité des soumissions (O.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(ATA/535/2011 précité consid. 6 ; ATA/102/2010 du 16 février 2010, confirmé par Arrêt du Tribunal fédéral 2C_197/2010 et 2C_198/2010 du 30 avril 2010).</w:t>
      </w:r>
    </w:p>
    <w:p>
      <w:r>
        <w:t>La chambre de céans s'est toujours montrée stricte dans ce domaine (ATA/535/2011 précité consid. 6 ; ATA/150/2006 du 14 mars 2006, notamment), ce que le Tribunal fédéral a constaté mais confirmé (Arrêt du Tribunal fédéral 2C_197 et 198/2010 précité), la doctrine étant plus critique à cet égard (O. RODONDI, op. cit., p. 186 ch. 64). 5) En l'espèce, à ce stade à tout le moins, la question peut demeurer indécise de savoir si l'absence de production dans le délai de l'attestation requise certifiant l'engagement à respecter les usages – prévue par l'art. 32 al. 1 let. b ch. 2 RMP – est ou non de peu de gravité, ou si la recourante pouvait de bonne foi croire que le formulaire de l'OCIRT intitulé « Engagement à respecter les usages » signé le 4 novembre 2013 par l'administrateur et le 13 novembre 2013 par l'office, présenté le 8 janvier 2014, correspondait à l'attestation requise par l'intimé.</w:t>
      </w:r>
    </w:p>
    <w:p>
      <w:r>
        <w:t>En effet, la décision querellée est également fondée sur le fait que l'attestation de soumission établie le 27 septembre 2013 par l'AFC - prévue par l'art. 32 al. 1 let. c RMP - ne respectait pas le délai de validité de trois mois clairement exprimé en bas de l'annexe P2+ et exigé par l'art. 32 al. 3 RMP. Ce manquement, non négligeable au regard des exigences et des conséquences de leur non-respect (« exclusion immédiate ») bien mises en évidence par l'intimé à l'intention des candidats, ne pouvait prima facie pas échapper à la recourante au moment du dépôt de son offre, si elle avait fait preuve de la diligence requise par les circonstances et les exigences de forme propres au droit des marchés publics. La recourante n'a à cet égard soulevé aucun grief concernant ce manquement.</w:t>
      </w:r>
    </w:p>
    <w:p>
      <w:r>
        <w:t>A cet égard, le respect de l’égalité de traitement entre soumissionnaires, garanti par l'art. 16 al. 2 RMP, oblige l’autorité adjudicatrice à traiter de manière égale les soumissionnaires pendant tout le déroulement formel de la procédure (ATA/581/2013 du 3 septembre 2013 consid. 7b ; ATA/884/2004 du 26 octobre 2004 ; J.-B. ZUFFEREY / C. MAILLARD / N. MICHEL, op. cit., p. 109 ; B. BOVAY, La non-discrimination en droit des marchés publics, in RDAF 2004 p. 241). La chambre administrative a rappelé le caractère formaliste du droit des marchés publics qu’impose le respect de ce principe (ATA/581/2013 précité consid. 7b ; ATA/150/2009 du 14 mars 2009 ; ATA/10/2009 du</w:t>
      </w:r>
    </w:p>
    <w:p>
      <w:r>
        <w:t>- 7/8 - A/284/2014 13 janvier 2009). L’égalité de traitement impose que les conditions d’accès au marché soient similaires pour tous (ATA/581/2013 précité consid. 7b ; CROMP, version du 2 juin 2005, actualisée et complétée les 9 juin 2006, 18 décembre 2006 et 12 septembre 2008, annexe D, ch. 2).</w:t>
      </w:r>
    </w:p>
    <w:p>
      <w:r>
        <w:t>Enfin, vu l'acceptation de la production tardive de l'attestation de l'OCAS, on ne saurait prima facie, pour le moins, reprocher à l'intimé un quelconque formalisme excessif dans le traitement de l'offre de la recourante. 6) Au vu de ce qui précède, sur la base d'un examen sommaire du cas et compte tenu de l'art. 42 al. 1 let. a RMP, qui dispose que l'offre est écartée d'office lorsque le soumissionnaire a rendu une offre tardive, incomplète ou non-conforme aux exigences ou au cahier des charges, le recours paraît dénué de chances de succès, ce qui conduit au refus de la restitution de l'effet suspensif. 7) Le sort des frais de la procédure est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Jacopo Rivara, avocat de la recourante, ainsi qu'à l’office des bâtiments.</w:t>
      </w:r>
    </w:p>
    <w:p>
      <w:r>
        <w:t>La présidente :</w:t>
      </w:r>
    </w:p>
    <w:p>
      <w:r>
        <w:t>Ch. Junod</w:t>
      </w:r>
    </w:p>
    <w:p>
      <w:r>
        <w:t>- 8/8 - A/284/2014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