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ATA/1129/2015 vom 22. Oktober 2015</w:t>
      </w:r>
    </w:p>
    <w:p>
      <w:r>
        <w:t>GE Cour de justice, 2015-10-22, FR</w:t>
      </w:r>
    </w:p>
    <w:p>
      <w:r>
        <w:rPr>
          <w:b/>
        </w:rPr>
        <w:t xml:space="preserve">Quelle: </w:t>
      </w:r>
      <w:r>
        <w:t>https://mcp.opencaselaw.ch/entscheid/ge_gerichte_ATA_1129_2015</w:t>
      </w:r>
    </w:p>
    <w:p>
      <w:r>
        <w:t>FR: GE_GERICHTE ATA/1129/2015 du 22 octobre 2015</w:t>
      </w:r>
    </w:p>
    <w:p>
      <w:r>
        <w:t>IT: GE_GERICHTE ATA/1129/2015 del 22 ottobre 2015</w:t>
      </w:r>
    </w:p>
    <w:p>
      <w:pPr>
        <w:pStyle w:val="Heading2"/>
      </w:pPr>
      <w:r>
        <w:t>Erwägungen</w:t>
      </w:r>
    </w:p>
    <w:p>
      <w:r>
        <w:rPr>
          <w:b/>
        </w:rPr>
        <w:t>E. 27</w:t>
      </w:r>
    </w:p>
    <w:p>
      <w:r>
        <w:t>août 2008 consid. 2b). Le droit d’être entendu ne contient pas non plus d’obligation de discuter tous les griefs et moyens de preuve du recourant ; il suffit que le juge discute ceux qui sont pertinents pour l'issue du litige (ATF 133 II 235 consid 5.2 ; 129 I 232 consid. 3.2 ; arrêts du Tribunal fédéral 1C.424/2009 du 6 septembre 2010 consid. 2 ; 2C.514/2009 du 25 mars 2010 consid. 3.1).</w:t>
      </w:r>
    </w:p>
    <w:p>
      <w:r>
        <w:t>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ATA/727/2014 du 9 septembre 2014 ; ATA/24/2014 du 14 janvier 2014 ; ATA/305/2013 du 14 mai 2013).</w:t>
      </w:r>
    </w:p>
    <w:p>
      <w:r>
        <w:t>b. En l’occurrence, le recourant a été entendu par le TAPI, y compris concernant sa prétendue nationalité camerounaise et les démarches effectuées ou non auprès des autorités du Cameroun en vue de la reconnaissance de celle-ci, et il ne fait valoir aucune circonstance particulière nouvelle qui pourrait le cas échéant rendre nécessaire son audition par la chambre de céans. En outre, celle-ci dispose d’un dossier complet, soit de tous les éléments nécessaires à trancher le litige, sans qu’une comparution personnelle soit susceptible d’apporter des faits pertinents non déjà connus. 4)</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5)</w:t>
      </w:r>
    </w:p>
    <w:p>
      <w:r>
        <w:t>Aux termes de l’art. 76 al. 1 let. b ch. 1 LEtr, lorsqu'une décision de renvoi ou d'expulsion a été notifiée, l'autorité compétente peut, afin d'en assurer l'exécution, placer la personne concernée en détention administrative, notamment si elle menace sérieusement d’autres personnes ou met gravement en danger leur vie ou leur intégrité corporelle et fait l’objet d’une poursuite pénale (art. 75 al. 1</w:t>
      </w:r>
    </w:p>
    <w:p>
      <w:r>
        <w:t>- 8/12 - A/3438/2015 let. g LEtr) ou si elle a été condamnée pour crime (art. 75 al. 1 let. h LEtr), par quoi il faut entendre une infraction passible d’une peine privative de liberté de plus de trois ans (art. 10 al. 2 du Code pénal suisse du 21 décembre 1937 - CP - RS 311.0 ; ATA/848/2014 du 31 octobre 2014 consid. 5 ; ATA/295/2011 du 12 mai 2011 consid. 4). 6)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7)</w:t>
      </w:r>
    </w:p>
    <w:p>
      <w:r>
        <w:t>En l’espèce, le recourant ne conteste pas qu’il menace sérieusement d’autres personnes ou met gravement en danger leur vie ou leur intégrité corporelle, au</w:t>
      </w:r>
    </w:p>
    <w:p>
      <w:r>
        <w:t>- 9/12 - A/3438/2015 sens de l’art. 75 al. 1 let. g en lien avec l’art. 76 al. 1 let. b ch. 1 LEtr, vu sa condamnation pour détention en vue de vente d’une quantité de cocaïne non négligeable.</w:t>
      </w:r>
    </w:p>
    <w:p>
      <w:r>
        <w:t>Quoi qu’il en soit, même si les conditions de ces dispositions légales n’étaient pas remplies, le principe de sa détention administrative serait à tout le moins justifié par l’application de l'art. 76 al. 1 let. b ch. 3 et 4 LEtr.</w:t>
      </w:r>
    </w:p>
    <w:p>
      <w:r>
        <w:t>En effet, vu l’absence de collaboration du recourant avec les autorités en vue de son départ de Suisse, sa disparition le 31 octobre 2014, son refus de monter dans l’avion le 2 octobre 2015 ainsi que l’absence de résidence stable et de moyens d’existence réguliers, un risque de fuite est établi. L’intéressé ne le conteste du reste pas.</w:t>
      </w:r>
    </w:p>
    <w:p>
      <w:r>
        <w:t>Au titre de seuls griefs, le recourant invoque sa prétendue nationalité camerounaise, une origine de la région de Bakassi et un risque en cas de renvoi, circonstances qui ont déjà été alléguées dans le cadre de la procédure d’asile, qui ont été considérées comme non vraisemblables par le SEM et qui ne sont pas de la compétence de la chambre administrative sur mesures de contraintes. Il ne présente aucun élément de fait ou moyen de preuve nouveau. Par surabondance, le fait que le recourant n’aurait pas été en mesure de prendre contact avec les autorités camerounaises, allégué figurant dans son recours avec pour offre de preuve son audition par la chambre de céans, est contredit par ses propres déclarations faites devant le TAPI, à teneur desquelles de telles démarches ne lui avaient pas semblé nécessaires dès lors qu'il attendait l'attestation du médecin.</w:t>
      </w:r>
    </w:p>
    <w:p>
      <w:r>
        <w:t>C’est donc en vain qu’il invoque une impossibilité de l’exécution du renvoi pour des raisons juridiques ou matérielles au sens de l’art. 80 al. 6 let. a LEtr,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8)</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- 10/12 - A/3438/2015</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9)</w:t>
      </w:r>
    </w:p>
    <w:p>
      <w:r>
        <w:t>Dans le cas présent, vu l’opposition déterminée du recourant à son renvoi, le risque de fuite et le fait notamment que les autorités suisses sont désormais contraintes de procéder à un renvoi par vol spécial, on ne voit pas quelle solution moins incisive que la détention administrative pourrait être ordonnée.</w:t>
      </w:r>
    </w:p>
    <w:p>
      <w:r>
        <w:t>De leur côté, les autorités suisses ont agi avec diligence et célérité, réservant un vol dès avant la sortie de prison de l’intéressé et prévoyant de l’inscrire dès que possible au prochain vol spécial vers le Nigéria, probablement pour le mois de décembre 2015.</w:t>
      </w:r>
    </w:p>
    <w:p>
      <w:r>
        <w:t>Dans ces circonstances, la mise en détention administrative pour une durée de trois mois, telle que réduite par le TAPI au regard de la prévisibilité de ce vol spécial à l’intérieur de ce délai, est proportionnée. 10) Vu ce qui précède, le recours, infondé, sera rejeté. 11) Vu la nature du litige, il ne sera pas perçu d’émolument (art. 12 du règlement sur les frais, émoluments et indemnités en procédure administrative du</w:t>
      </w:r>
    </w:p>
    <w:p>
      <w:r>
        <w:rPr>
          <w:b/>
        </w:rPr>
        <w:t>E. 30</w:t>
      </w:r>
    </w:p>
    <w:p>
      <w:r>
        <w:t>juillet 1986 - RFPA - E 5 10.03). Vu l’issue du litige, aucune indemnité de procédure ne sera allouée au recourant (art. 87 al. 2 LPA).</w:t>
      </w:r>
    </w:p>
    <w:p>
      <w:r>
        <w:t>* * * * *</w:t>
      </w:r>
    </w:p>
    <w:p>
      <w:r>
        <w:t>- 11/12 - A/3438/2015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