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ATA/1128/2017 vom 2. August 2017</w:t>
      </w:r>
    </w:p>
    <w:p>
      <w:r>
        <w:t>GE Cour de justice, 2017-08-02, FR</w:t>
      </w:r>
    </w:p>
    <w:p>
      <w:r>
        <w:rPr>
          <w:b/>
        </w:rPr>
        <w:t xml:space="preserve">Quelle: </w:t>
      </w:r>
      <w:r>
        <w:t>https://mcp.opencaselaw.ch/entscheid/ge_gerichte_ATA_1128_2017</w:t>
      </w:r>
    </w:p>
    <w:p>
      <w:r>
        <w:t>FR: GE_GERICHTE ATA/1128/2017 du 2 août 2017</w:t>
      </w:r>
    </w:p>
    <w:p>
      <w:r>
        <w:t>IT: GE_GERICHTE ATA/1128/2017 del 2 agosto 2017</w:t>
      </w:r>
    </w:p>
    <w:p>
      <w:pPr>
        <w:pStyle w:val="Heading2"/>
      </w:pPr>
      <w:r>
        <w:t>Erwägungen</w:t>
      </w:r>
    </w:p>
    <w:p>
      <w:r>
        <w:rPr>
          <w:b/>
        </w:rPr>
        <w:t>E. 18</w:t>
      </w:r>
    </w:p>
    <w:p>
      <w:r>
        <w:t>octobre 2016 consid. 3 et les références citées). Toutefois, lorsque le seul objet du litige est le montant des dépens, il appartient à l’autorité saisie de justifier, même de manière succincte, le montant alloué (arrêt du Tribunal fédéral 2D_35/2016 consid. 3.2). Quant aux frais judiciaires, ce sont des taxes causales qui doivent respecter les principes de couverture des coûts et d'équivalence (ATF 141 I 105 consid. 3.3.2), même s’il est notoire que les tarifs sont généralement inférieurs à ce qu’il serait nécessaire pour couvrir les dépenses effectives des tribunaux (arrêt du Tribunal fédéral 2C_501/2015 et 2C_512/2015 du 17 mars 2017 consid. 4.2.3 et 4.3.1). 4)</w:t>
      </w:r>
    </w:p>
    <w:p>
      <w:r>
        <w:t>En l’espèce, les demandeurs ont interjeté recours le 8 août 2016 contre un acte du DIP du 15 juin 2016, reçu le 20 juin 2016. Leurs conclusions tendaient à l’annuler et à le réformer en ordonnant au DIP de prévoir trois heures hebdomadaires d’éducation physique dans le programme scolaire 2016-2017. Ce dernier devant s’appliquer dès la rentrée scolaire 2016-2017, prévue le 29 août 2016, soit trois semaines après le réception du recours, et touchant plusieurs milliers d’élèves ainsi que leurs familles, la procédure devait dès lors être traitée avec la plus grande célérité par tous les intervenants, collaborateurs et magistrats, dès son enregistrement, étape qui comprend la demande d’avance de frais, dont le montant est déterminé notamment par l’existence d’une demande de mesures provisionnelles. Le juge délégué a ensuite déterminé comment il allait traiter ce</w:t>
      </w:r>
    </w:p>
    <w:p>
      <w:r>
        <w:t>- 4/5 - A/3160/2016 dossier à caractère prioritaire. Il a ensuite appartenu aux magistrats de la chambre de céans de prendre connaissance du projet et du dossier, puis de délibérer la cause lors de la séance du 23 août 2016, de telle manière que l’arrêt puisse être notifié aux parties avant la rentrée scolaire 2016-2017, ce qui a impliqué des contraintes organisationnelles. Dans ces circonstances, un émolument de CHF 1'000.-, qui demeure très en-deçà de la couverture des coûts effectifs, échappe à tout reproche d’arbitraire.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