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ATA/1122/2022 vom 8. November 2022</w:t>
      </w:r>
    </w:p>
    <w:p>
      <w:r>
        <w:t>GE Cour de justice, 2022-11-08, FR</w:t>
      </w:r>
    </w:p>
    <w:p>
      <w:r>
        <w:rPr>
          <w:b/>
        </w:rPr>
        <w:t xml:space="preserve">Quelle: </w:t>
      </w:r>
      <w:r>
        <w:t>https://mcp.opencaselaw.ch/entscheid/ge_gerichte_ATA_1122_2022</w:t>
      </w:r>
    </w:p>
    <w:p>
      <w:r>
        <w:t>FR: GE_GERICHTE ATA/1122/2022 du 8 novembre 2022</w:t>
      </w:r>
    </w:p>
    <w:p>
      <w:r>
        <w:t>IT: GE_GERICHTE ATA/1122/2022 del 8 novembre 2022</w:t>
      </w:r>
    </w:p>
    <w:p>
      <w:pPr>
        <w:pStyle w:val="Heading2"/>
      </w:pPr>
      <w:r>
        <w:t>Erwägungen</w:t>
      </w:r>
    </w:p>
    <w:p>
      <w:r>
        <w:rPr>
          <w:b/>
        </w:rPr>
        <w:t>E. 12</w:t>
      </w:r>
    </w:p>
    <w:p>
      <w:r>
        <w:t>septembre 1985 - LPA - E 5 10). 2)</w:t>
      </w:r>
    </w:p>
    <w:p>
      <w:r>
        <w:t>Le litige consiste à déterminer si la situation de la recourante relève du cas de rigueur justifiant un séjour sur le fondement de l’art. 30 let. b LEI. .</w:t>
      </w:r>
    </w:p>
    <w:p>
      <w:r>
        <w:t>a. Le 1er janvier 2019 est entrée en vigueur une modification de la LEI et de l’OASA.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w:t>
      </w:r>
    </w:p>
    <w:p>
      <w:r>
        <w:t>- 7/13 - A/811/2021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Selon l’art. 31 al. 5 OASA, dans sa teneur au moment des faits, 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intégration professionnelle ou une maladie grave ne pouvant être traitée qu'en Suisse (arrêt du Tribunal fédéral 2A.543/2001 du 25 avril 2002 consid. 5.2).</w:t>
      </w:r>
    </w:p>
    <w:p>
      <w:r>
        <w:t>Par durée assez longue, la jurisprudence entend une période de sept à huit ans (arrêt du Tribunal administratif fédéral C-7330/2010 du 19 mars 2012 consid. 5.3 ; Minh SON NGUYEN/Cesla AMARELLE, Code annoté de droit des migrations, LEtr, vol. 2, 2017, p. 269 et les références citées).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w:t>
      </w:r>
    </w:p>
    <w:p>
      <w:r>
        <w:t>- 8/13 - A/811/2021 de limitation (arrêt du Tribunal fédéral 2A.543/2001 du 25 avril 2002 consid. 5.2 ; ATA/981/2019 précité consid. 6c et l'arrêt cité).</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w:t>
      </w:r>
    </w:p>
    <w:p>
      <w:r>
        <w:t>d. 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s’est terminée le 31 décembre 2018.</w:t>
      </w:r>
    </w:p>
    <w:p>
      <w:r>
        <w:t>- 9/13 - A/811/2021 3)</w:t>
      </w:r>
    </w:p>
    <w:p>
      <w:r>
        <w:t>En l'espèce, il n’est pas contesté que la recourante est arrivée en Suisse en 2012 et qu’elle y a séjourné de manière continue jusqu’à ce jour. Si un tel séjour peut être considéré comme étant d’assez longue durée, au sens de la jurisprudence précitée, il doit être fortement relativisé puisqu’il était illégal dès la fin de l’année 2012. On précisera d’ailleurs que, contrairement à ce que soutient la recourante, un tel séjour ne lui aurait pas permis de prétendre à une autorisation de séjour dans le cadre de l’« opération Papyrus », puisqu’au moment du dépôt de sa demande d’autorisation de séjour, en 2017, la recourante n’avait séjourné en Suisse que depuis cinq ans.</w:t>
      </w:r>
    </w:p>
    <w:p>
      <w:r>
        <w:t>Son intégration professionnelle ne peut être qualifiée de remarquable au sens de la jurisprudence précitée. Contrairement à ce que prétend la recourante, le fait qu’elle a repris le travail à un taux de 30 % conformément aux prescriptions de sa médecin traitante, ne suffit pas à considérer que son intégration professionnelle est exceptionnelle. S’il convient certes de tenir compte de son état de santé lors de l’examen de sa volonté de prendre part à la vie économique (art. 31 al. 5 OASA qui évoque toutefois la situation dans laquelle le requérant n’a encore pas pu exercer une activité lucrative), il n’en reste pas moins que ni l’activité de serveuse à 30 % exercée depuis 2019, ni celle de garde d’enfant exercée de 2012 à 2016, ne sont constitutives d'une ascension professionnelle remarquable. Il n’est d’ailleurs pas contesté que ces activités n’ont pas conduit l’intéressée à acquérir des connaissances professionnelles spécifiques à la Suisse qu'elle ne pourrait mettre à profit dans un autre pays, en particulier son pays d'origine. Enfin, s’agissant de l’art. 58a al. 2 LEI invoqué par la recourante, force est de relever que cette disposition ne s’applique pas à sa situation dès lors qu’elle est entrée en vigueur le 1er janvier 2019, soit après sa demande d’autorisation de séjour (consid. 2a).</w:t>
      </w:r>
    </w:p>
    <w:p>
      <w:r>
        <w:t>La recourante fait valoir qu’elle parle le français et s'est créée un cercle d'amis en Suisse. Il n’apparait toutefois pas qu’elle ait tissé en Suisse des liens amicaux ou affectifs particulièrement forts qu’elle ne pourrait continuer à entretenir par le biais des moyens de télécommunication modernes. L’intéressée allègue certes entretenir une relation de couple avec un ressortissant suisse depuis 2012. Or, hormis une lettre de soutien de ce dernier datée de décembre 2020, la recourante ne fournit aucune pièce à l’appui de l’existence d’une relation stable avec ce dernier. Elle admet d’ailleurs que ce dernier vit avec ses parents et qu’une « vie commune de couple n’est pas envisagée ». Ainsi, même à supposer qu’il soit établi, ce seul élément ne revêtirait pas le degré d’intensité suffisante pour fonder à lui seul un cas de rigueur. Par ailleurs, la recourante ne démontre pas ni n’allègue qu’avant la survenance de sa maladie, elle se serait investie dans la vie associative, culturelle ou sportive à Genève. Il sera donc retenu que la recourante ne peut pas se targuer d’une intégration sociale particulièrement marquée.</w:t>
      </w:r>
    </w:p>
    <w:p>
      <w:r>
        <w:t>- 10/13 - A/811/2021</w:t>
      </w:r>
    </w:p>
    <w:p>
      <w:r>
        <w:t>Pour le reste, arrivée en Suisse à l'âge de 25 ans, la recourante a vécu son enfance, son adolescence et le début de sa vie d'adulte dans son pays d'origine, soit les années déterminantes pour le développement de sa personnalité. Elle connaît les us et coutumes de son pays, dont elle maîtrise la langue et où vit encore sa famille. Sa réintégration sociale ne devrait ainsi pas poser de problèmes particuliers. Dans ces conditions, sa réintégration socio-professionnelle ne paraît pas fortement compromise. Si elle traversera une nécessaire phase de réadaptation à son retour, aucun élément ne permet de retenir qu’elle se retrouvera face à d’importantes difficultés de réintégration.</w:t>
      </w:r>
    </w:p>
    <w:p>
      <w:r>
        <w:t>En définitive, et comme l’a retenu le TAPI, le seul critère qui peut être retenu au sens de l’art. 31 al. 1 OASA est son état de santé. Or, ainsi que l’a relevé le Tribunal fédéral, une grave maladie ne saurait justifier, à elle seule, la reconnaissance d'un cas de rigueur, l'aspect médical ne constituant qu'un élément parmi d'autres. Ainsi, bien que les problèmes de santé de la recourante paraissent revêtir une gravité non négligeable, force est de constater que les autres éléments d’appréciation au sens de l’art. 31 al. 1 OASA ne parlent pas en faveur de la reconnaissance d’un cas individuel d’une extrême gravité. Comme déjà exposé, la recourante, dont la durée de son séjour en Suisse doit être fortement relativisée, ne peut se prévaloir d’une intégration socio-professionnelle dans ce pays. Il s’impose d’ailleurs de rappeler que les motifs médicaux constituent avant tout un obstacle à l’exécution du renvoi au sens de l’art. 83 al. 4 LEI. Le TAPI l’a d’ailleurs admis, retenant que la recourante serait concrètement exposée, en cas de retour dans son pays, au risque de ne pas pouvoir assumer financièrement son traitement. Il a dès lors renvoyé le dossier à l’OCPM afin qu’il le soumette au SEM avec un préavis favorable à une admission provisoire.</w:t>
      </w:r>
    </w:p>
    <w:p>
      <w:r>
        <w:t>Au vu de ces circonstances, prises dans leur ensemble, la situation de la recourante ne réalise pas les conditions très strictes permettant d'admettre l'existence d'un cas individuel d'extrême gravité, comme l'a retenu à juste titre l'autorité intimée, confirmée en cela par le TAPI, qui n'a ainsi pas mésusé de son large pouvoir d'appréciation en lui refusant une autorisation de séjour pour cas de rigueur aux sens des art. 30 al. 1 let. b LEI et 31 al. 1 OASA. Cette conclusion s’impose même en faisant abstraction du critère de la situation financière de la recourante, dont la dépendance à l’aide sociale parait en grande partie due à sa maladie survenue en 2016.</w:t>
      </w:r>
    </w:p>
    <w:p>
      <w:r>
        <w:t>Mal fondé, le recours sera partant rejeté. 4)</w:t>
      </w:r>
    </w:p>
    <w:p>
      <w:r>
        <w:t>S’agissant enfin de la décision de renvoi (art. 64 al. 1 let. c LEI), les parties ne remettent pas en cause l’appréciation du TAPI selon laquelle la recourante remplit les conditions d’une admission provisoire. Le jugement sera dès lors également confirmé sur ce point.</w:t>
      </w:r>
    </w:p>
    <w:p>
      <w:r>
        <w:t>- 11/13 - A/811/2021 5)</w:t>
      </w:r>
    </w:p>
    <w:p>
      <w:r>
        <w:t>Au vu de ce qui précède, le recours sera rejeté et le jugement attaqué confirmé. 6)</w:t>
      </w:r>
    </w:p>
    <w:p>
      <w:r>
        <w:t>La recourante, qui succombe, étant au bénéfice de l’assistance juridique, il ne sera pas perçu d’émolument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