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ATA/1122/2015 vom 19. Oktober 2015</w:t>
      </w:r>
    </w:p>
    <w:p>
      <w:r>
        <w:t>GE Cour de justice, 2015-10-19, FR</w:t>
      </w:r>
    </w:p>
    <w:p>
      <w:r>
        <w:rPr>
          <w:b/>
        </w:rPr>
        <w:t xml:space="preserve">Quelle: </w:t>
      </w:r>
      <w:r>
        <w:t>https://mcp.opencaselaw.ch/entscheid/ge_gerichte_ATA_1122_2015</w:t>
      </w:r>
    </w:p>
    <w:p>
      <w:r>
        <w:t>FR: GE_GERICHTE ATA/1122/2015 du 19 octobre 2015</w:t>
      </w:r>
    </w:p>
    <w:p>
      <w:r>
        <w:t>IT: GE_GERICHTE ATA/1122/2015 del 19 ottobre 2015</w:t>
      </w:r>
    </w:p>
    <w:p>
      <w:pPr>
        <w:pStyle w:val="Heading2"/>
      </w:pPr>
      <w:r>
        <w:t>Erwägungen</w:t>
      </w:r>
    </w:p>
    <w:p>
      <w:r>
        <w:rPr>
          <w:b/>
        </w:rPr>
        <w:t>E. 8</w:t>
      </w:r>
    </w:p>
    <w:p>
      <w:r>
        <w:t>décembre 2011 ; ATA/614/2011 du 28 septembre 2011 consid. 2 ; ATA/214/2011 du 1er avril 2011 et la jurisprudence citée). 4)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w:t>
      </w:r>
    </w:p>
    <w:p>
      <w:r>
        <w:t>- 6/8 - A/2894/2015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Aux termes de l’art. 24 RMP, l'autorité adjudicatrice choisit des critères objectifs, vérifiables et pertinents par rapport au marché ; elle doit les énoncer clairement et par ordre d'importance au moment de l'appel d'offres.</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5)</w:t>
      </w:r>
    </w:p>
    <w:p>
      <w:r>
        <w:t>En l’espèce, les chances de succès du recours n’apparaissent pas, à première vue, manifestes. L’ordre d’importance des critères d’adjudication, s’il n’a pas été publié dans la FAO, était mentionné dans le dossier d’appel d’offres.</w:t>
      </w:r>
    </w:p>
    <w:p>
      <w:r>
        <w:t>L’exigence de motivation de la décision litigieuse, laquelle peut se limiter à être sommaire (art. 13 let. h AIMP ; 45 al. 1 RMP) a été respectée : cette dernière indiquait le point donné à chacun des critères et précisait la manière dont les points composant le prix global de l’offre avaient été fixée. De plus, la recourante a été reçue pendant le délai de recours par l’autorité intimée, ce qui permet de retenir, toujours à première vue, qu’elle a pu obtenir les éventuelles informations complémentaires nécessaires.</w:t>
      </w:r>
    </w:p>
    <w:p>
      <w:r>
        <w:t>De plus, le principe de la non-discrimination et celui de l’égalité de traitement apparaissent, à première analyse, être respectés. L’évaluation de chacun des candidats semble avoir été faite sur des critères choisis avec soin et utilisé sans favoriser une offre particulière.</w:t>
      </w:r>
    </w:p>
    <w:p>
      <w:r>
        <w:t>Le poids donné au critère concernant la qualité, est certes important. Il reste cependant dans les limites du pouvoir d’appréciation accordé par le législateur à l’autorité adjudicatrice, étant précisé que le marché qui ne concerne pas uniquement la fourniture de matériel standardisé, mais aussi son entretien et le service après-vente, présente une certaine complexité.</w:t>
      </w:r>
    </w:p>
    <w:p>
      <w:r>
        <w:t>- 7/8 - A/2894/2015</w:t>
      </w:r>
    </w:p>
    <w:p>
      <w:r>
        <w:t>Quant à la pesée d’intérêts à effectuer, la chambre administrative relèvera en premier lieu que, s’il existe un intérêt public important, ce dernier doit cependant être relativisé du fait qu’il appartient à l’autorité de tenir compte des éventuels recours dans son planning, sauf à vider de son contenu les règles régissant ce domaine. L’intérêt privé de la recourante, lequel s’oppose à celui de la société intimée, n’apparaît pas non plus déterminant. 6)</w:t>
      </w:r>
    </w:p>
    <w:p>
      <w:r>
        <w:t>Au vu des éléments qui précèdent, la restitution de l’effet suspensif sera refusée.</w:t>
      </w:r>
    </w:p>
    <w:p>
      <w:r>
        <w:t>Les frais de la procédure seront réservés jusqu’à droit jugé au fond.</w:t>
      </w:r>
    </w:p>
    <w:p>
      <w:r>
        <w:t>* * * * * LA CHAMBRE ADMINISTRATIVE rejette la requête en restitution de l’effet suspensif au recours interjeté le 27 août 2015 par Lémanvisio SA contre la décision d’adjudication du 13 août 2015 prise par la centrale commune d’achats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Laurent Maire, avocat de la recourante, à la centrale commune d’achats, ainsi qu'à Me Olivier Wehrli, avocat de Vision Color Sàrl.</w:t>
      </w:r>
    </w:p>
    <w:p>
      <w:r>
        <w:t>Le vice-président :</w:t>
      </w:r>
    </w:p>
    <w:p>
      <w:r>
        <w:t>J.-M. Verniory</w:t>
      </w:r>
    </w:p>
    <w:p>
      <w:r>
        <w:t>- 8/8 - A/2894/2015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