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ATA/111/2018 vom 6. Februar 2018</w:t>
      </w:r>
    </w:p>
    <w:p>
      <w:r>
        <w:t>GE Cour de justice, 2018-02-06, FR</w:t>
      </w:r>
    </w:p>
    <w:p>
      <w:r>
        <w:rPr>
          <w:b/>
        </w:rPr>
        <w:t xml:space="preserve">Quelle: </w:t>
      </w:r>
      <w:r>
        <w:t>https://mcp.opencaselaw.ch/entscheid/ge_gerichte_ATA_111_2018</w:t>
      </w:r>
    </w:p>
    <w:p>
      <w:r>
        <w:t>FR: GE_GERICHTE ATA/111/2018 du 6 février 2018</w:t>
      </w:r>
    </w:p>
    <w:p>
      <w:r>
        <w:t>IT: GE_GERICHTE ATA/111/2018 del 6 febbraio 2018</w:t>
      </w:r>
    </w:p>
    <w:p>
      <w:pPr>
        <w:pStyle w:val="Heading2"/>
      </w:pPr>
      <w:r>
        <w:t>Regeste</w:t>
      </w:r>
    </w:p>
    <w:p>
      <w:r>
        <w:t>Résumé: Les infractions reprochées au recourant permettraient, si elles étaient avérées, d'admettre que son honorabilité doit être déniée. Toutefois, les expertises de crédibilité produites affaiblissent ces reproches. Par ailleurs, le certificat de bonne vie et moeurs est nécessaire à l'exercice de la profession de taxi. Recours admis.</w:t>
      </w:r>
    </w:p>
    <w:p>
      <w:pPr>
        <w:pStyle w:val="Heading2"/>
      </w:pPr>
      <w:r>
        <w:t>Erwägungen</w:t>
      </w:r>
    </w:p>
    <w:p>
      <w:r>
        <w:rPr>
          <w:b/>
        </w:rPr>
        <w:t>E. 12</w:t>
      </w:r>
    </w:p>
    <w:p>
      <w:r>
        <w:t>septembre 1985 - LPA - E 5 10). 2)</w:t>
      </w:r>
    </w:p>
    <w:p>
      <w:r>
        <w:t>En vertu de l'art. 8 de la loi sur les renseignements et les dossiers de police et la délivrance des certificats de bonne vie et mœurs du 29 septembre 1977 (LCBVM - F 1 25), quiconque justifie de son identité et satisfait aux exigences du chapitre IV LCBVM peut requérir la délivrance d'un certificat de bonne vie et mœurs.</w:t>
      </w:r>
    </w:p>
    <w:p>
      <w:r>
        <w:t>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(ATA/1226/2017 du 22 août 2017 et les références</w:t>
      </w:r>
    </w:p>
    <w:p>
      <w:r>
        <w:t>- 4/6 - A/3728/2017 citées).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3) a. Le CBVM est notamment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t>b. L'art. 10 al. 1 let. b LCBVM a été introduit dans le but de saisir les comportements relevant du droit pénal dès leur commission, et de permettre à l’autorité d'en tenir compte avant la fin de l'instruction pénale et le prononcé judiciaire (Mémorial des séances du Grand Conseil de la République et canton de Genève, 1977, p. 4774).</w:t>
      </w:r>
    </w:p>
    <w:p>
      <w:r>
        <w:t>c.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(ATA/737/2016 du 30 août 2016 et les références citées).</w:t>
      </w:r>
    </w:p>
    <w:p>
      <w:r>
        <w:t>d. Les dispositions précitées doivent donc être interprétées dans le respect du principe de la proportionnalité qui commande à l'administration de ne se servir que des moyens adaptés au but que la loi vise : d'une part, le moyen utilisé doit être propre à atteindre la fin d'intérêt public recherchée et, d'autre part, il faut qu'il existe un rapport raisonnable entre le but d'intérêt public visé, le moyen choisi pour l'atteindre et la liberté impliquée (ATA/1631/2017 du 19 décembre 2017). 4)</w:t>
      </w:r>
    </w:p>
    <w:p>
      <w:r>
        <w:t>En l’espèce, il n’est pas contestable que les infractions reprochées initialement au recourant permettraient, si elles étaient avérées, d’admettre que son honorabilité doit être déniée avec certitude.</w:t>
      </w:r>
    </w:p>
    <w:p>
      <w:r>
        <w:t>Toutefois, les pièces produites au cours de la procédure, notamment les expertises de crédibilité, affaiblissent singulièrement ces reproches. Les EVIG</w:t>
      </w:r>
    </w:p>
    <w:p>
      <w:r>
        <w:t>- 5/6 - A/3728/2017 réalisées ne permettent pas de retenir l’existence d’attouchements sexuels alors que les allégations concernant des violences physiques sont qualifiées par les experts pénaux de « plutôt crédibles ».</w:t>
      </w:r>
    </w:p>
    <w:p>
      <w:r>
        <w:t>La crédibilité des reproches de violences physiques est aussi confirmée par les constats médicaux faits initialement, dont il ressortait qu’un hématome, compatible avec un coup porté avec un fil de chargeur téléphonique, était présent sur la cuisse de l’enfant.</w:t>
      </w:r>
    </w:p>
    <w:p>
      <w:r>
        <w:t>D’autre part, contrairement à ce que soutient l’intimé, il ne peut évidemment pas être reproché au recourant de donner à ses enfants une éducation religieuse, la liberté de conscience et de croyance étant garanties par la constitution fédérale. 5)</w:t>
      </w:r>
    </w:p>
    <w:p>
      <w:r>
        <w:t>Par conséquent, en refusant au recourant la délivrance d’un CBVM, le commissaire de police a abusé du pouvoir d’appréciation que lui conféraient les art. 10 al. 2 et 11 al. 2 LCBVM, un tel refus ne respectant pas le principe de la proportionnalité car il n’est pas propre à atteindre le but visé par les dispositions régissant l’exercice de la profession de chauffeur de taxi (ATA/1226/2017 du 22 août 2017, concernant une exigence similaire instituée pour les exploitants d’établissements de restauration et de débit de boissons). 6)</w:t>
      </w:r>
    </w:p>
    <w:p>
      <w:r>
        <w:t>Au vu de ce qui précède, le recours sera admis. La décision attaquée sera annulée et la cause retournée au commissaire de police afin qu'il délivre le CBVM sollicité. 7)</w:t>
      </w:r>
    </w:p>
    <w:p>
      <w:r>
        <w:t>Il ne sera pas perçu d’émolument (art. 87 al. 1 LPA). Une indemnité de CHF 1'000.- à la charge de l’État de Genève sera allouée au recourant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