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ATA/111/2014 vom 21. Februar 2014</w:t>
      </w:r>
    </w:p>
    <w:p>
      <w:r>
        <w:t>GE Cour de justice, 2014-02-21, FR</w:t>
      </w:r>
    </w:p>
    <w:p>
      <w:r>
        <w:rPr>
          <w:b/>
        </w:rPr>
        <w:t xml:space="preserve">Quelle: </w:t>
      </w:r>
      <w:r>
        <w:t>https://mcp.opencaselaw.ch/entscheid/ge_gerichte_ATA_111_2014</w:t>
      </w:r>
    </w:p>
    <w:p>
      <w:r>
        <w:t>FR: GE_GERICHTE ATA/111/2014 du 21 février 2014</w:t>
      </w:r>
    </w:p>
    <w:p>
      <w:r>
        <w:t>IT: GE_GERICHTE ATA/111/2014 del 21 febbraio 2014</w:t>
      </w:r>
    </w:p>
    <w:p>
      <w:pPr>
        <w:pStyle w:val="Heading2"/>
      </w:pPr>
      <w:r>
        <w:t>Erwägungen</w:t>
      </w:r>
    </w:p>
    <w:p>
      <w:r>
        <w:rPr>
          <w:b/>
        </w:rPr>
        <w:t>E. 22</w:t>
      </w:r>
    </w:p>
    <w:p>
      <w:r>
        <w:t>février 2012 ; ATA/92/2012 du 17 février 2012). 8)</w:t>
      </w:r>
    </w:p>
    <w:p>
      <w:r>
        <w:t>La demande de restitution de l’effet suspensif sera ainsi rejetée, le sort des frais de la cause étant réservé jusqu’à droit jugé au fond.</w:t>
      </w:r>
    </w:p>
    <w:p>
      <w:r>
        <w:t>vu l’art. 66 al. 2 de la loi sur la procédure administrative du 12 septembre 1985 ;</w:t>
      </w:r>
    </w:p>
    <w:p>
      <w:r>
        <w:t>vu l’art. 7 al. 1 du règlement de la chambre administrative du 21 décembre 2010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Eric Hess, avocat du recourant ainsi qu'à Me François Bellanger, avocat de la ville de Carouge.</w:t>
      </w:r>
    </w:p>
    <w:p>
      <w:r>
        <w:t>Le président :</w:t>
      </w:r>
    </w:p>
    <w:p>
      <w:r>
        <w:t>Ph. Thélin</w:t>
      </w:r>
    </w:p>
    <w:p>
      <w:r>
        <w:t>- 5/5 - A/4044/2013</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