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ATA/110/2012 vom 24. Februar 2012</w:t>
      </w:r>
    </w:p>
    <w:p>
      <w:r>
        <w:t>GE Cour de justice, 2012-02-24, FR</w:t>
      </w:r>
    </w:p>
    <w:p>
      <w:r>
        <w:rPr>
          <w:b/>
        </w:rPr>
        <w:t xml:space="preserve">Quelle: </w:t>
      </w:r>
      <w:r>
        <w:t>https://mcp.opencaselaw.ch/entscheid/ge_gerichte_ATA_110_2012</w:t>
      </w:r>
    </w:p>
    <w:p>
      <w:r>
        <w:t>FR: GE_GERICHTE ATA/110/2012 du 24 février 2012</w:t>
      </w:r>
    </w:p>
    <w:p>
      <w:r>
        <w:t>IT: GE_GERICHTE ATA/110/2012 del 24 febbraio 2012</w:t>
      </w:r>
    </w:p>
    <w:p>
      <w:pPr>
        <w:pStyle w:val="Heading2"/>
      </w:pPr>
      <w:r>
        <w:t>Erwägungen</w:t>
      </w:r>
    </w:p>
    <w:p>
      <w:r>
        <w:rPr>
          <w:b/>
        </w:rPr>
        <w:t>E. 1</w:t>
      </w:r>
    </w:p>
    <w:p>
      <w:r>
        <w:t>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L’étranger qui fait l’objet d’une décision de non-entrée en matière est renvoyé de Suisse (art. 44 LAsi). L’autorité cantonale désignée par l’ODM est tenue d’exécuter la décision de renvoi (art. 46 al. 1 LAsi et 69 al. 1 let. c LEtr).</w:t>
      </w:r>
    </w:p>
    <w:p>
      <w:r>
        <w:t>Si l’étranger à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 et que le transport soit garanti (T. GÄCHTER/M. KRADOLFER in M. CARONI / T. GÄCHTER / D. THURNHERR [éd.], Bundesgesetz über die Ausländerinnen und Ausländer [AuG], Berne 2010, ad art. 69 LEtr, n° 22, p. 705).</w:t>
      </w:r>
    </w:p>
    <w:p>
      <w:r>
        <w:rPr>
          <w:b/>
        </w:rPr>
        <w:t>E. 4</w:t>
      </w:r>
    </w:p>
    <w:p>
      <w:r>
        <w:t>L’étranger qui fait l’objet d’une décision de renvoi exécutoire peut être mis en détention administrative pour une durée de trente jours au plus si l’ODM n’est pas entré en matière sur sa demande d’asile au motif qu’il peut se rendre dans un Etat tiers compétent, en vertu d’un accord international, pour mener la procédure d’asile et de renvoi ou lorsque la décision de renvoi a été rendue en application de l’art. 64a LEtr (« cas Dublin »), cela pour autant que ladite décision ait été notifiée dans le canton d’exécution du renvoi et que celle-ci soit imminente (art. 76 al. 1 let. b ch. 6 LEtr et 34 al. 2 let. d LAsi).</w:t>
      </w:r>
    </w:p>
    <w:p>
      <w:r>
        <w:t>En l’espèce, le recourant ne détient pas de papiers d’identité et ne peut donc en l’état être renvoyé dans son pays d’origine. Il fait l’objet d’une décision de non-entrée en matière et de renvoi intervenue en application des accords de Dublin, qui lui a été notifiée le 21 décembre 2012 par l’OCP. Il ne peut ainsi être renvoyé que vers l’Italie et un vol à cet effet a été réservé pour le 29 février 2012, de sorte que l’exécution du renvoi interviendra avant l’échéance de la durée maximale de détention prévue par l’art. 76 al. 1 let. b ch. 6 LEtr, dont toutes les conditions d’application sont réalisées.</w:t>
      </w:r>
    </w:p>
    <w:p>
      <w:r>
        <w:t>- 5/6 - A/370/2012</w:t>
      </w:r>
    </w:p>
    <w:p>
      <w:r>
        <w:rPr>
          <w:b/>
        </w:rPr>
        <w:t>E. 5</w:t>
      </w:r>
    </w:p>
    <w:p>
      <w:r>
        <w:t>Il ressort des éléments susmentionnés que les autorités ont fait preuve de diligence et de célérité, de sorte que l’allégation du recourant selon laquelle le renvoi ne pourrait intervenir avant plusieurs mois s’avère dépourvu de pertinence. En outre, eu égard aux déclarations fluctuantes du recourant quant à sa volonté de se rendre en Italie, aucune mesure moins incisive n’aurait permis de réserver utilement un vol en respectant les exigences des autorités italiennes et d’assurer la présence de l’intéressé le jour du vol, de sorte que la mesure est conforme au principe de la proportionnalité.</w:t>
      </w:r>
    </w:p>
    <w:p>
      <w:r>
        <w:rPr>
          <w:b/>
        </w:rPr>
        <w:t>E. 6</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l’espèce, le recourant n’invoque aucun élément en relation avec cette disposition et le dossier n’en révèle pas.</w:t>
      </w:r>
    </w:p>
    <w:p>
      <w:r>
        <w:rPr>
          <w:b/>
        </w:rPr>
        <w:t>E. 7</w:t>
      </w:r>
    </w:p>
    <w:p>
      <w:r>
        <w:t>Au vu de ce qui précède, le recours sera rejeté. 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