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ATA/1108/2017 vom 18. Juli 2017</w:t>
      </w:r>
    </w:p>
    <w:p>
      <w:r>
        <w:t>GE Cour de justice, 2017-07-18, FR</w:t>
      </w:r>
    </w:p>
    <w:p>
      <w:r>
        <w:rPr>
          <w:b/>
        </w:rPr>
        <w:t xml:space="preserve">Quelle: </w:t>
      </w:r>
      <w:r>
        <w:t>https://mcp.opencaselaw.ch/entscheid/ge_gerichte_ATA_1108_2017</w:t>
      </w:r>
    </w:p>
    <w:p>
      <w:r>
        <w:t>FR: GE_GERICHTE ATA/1108/2017 du 18 juillet 2017</w:t>
      </w:r>
    </w:p>
    <w:p>
      <w:r>
        <w:t>IT: GE_GERICHTE ATA/1108/2017 del 18 luglio 2017</w:t>
      </w:r>
    </w:p>
    <w:p>
      <w:pPr>
        <w:pStyle w:val="Heading2"/>
      </w:pPr>
      <w:r>
        <w:t>Regeste</w:t>
      </w:r>
    </w:p>
    <w:p>
      <w:r>
        <w:t>Résumé: La décision unilatérale du recourant de démissionner de son emploi d'agent de sécurité, sans en informer préalablement son assistant social, alors qu'il bénéficie de prestations d'aide financière de l'Hospice général, constitue un manquement à son obligation de collaborer. La sanction prononcée à son encontre pour ce motif est ainsi justifiée, de même que proportionnée vu qu'elle tient compte de sa situation. Les considérations ressortant au droit relatif à assurance-chômage ne sauraient modifier cette appréciation in casu. Recours rejeté.</w:t>
      </w:r>
    </w:p>
    <w:p>
      <w:pPr>
        <w:pStyle w:val="Heading2"/>
      </w:pPr>
      <w:r>
        <w:t>Erwägungen</w:t>
      </w:r>
    </w:p>
    <w:p>
      <w:r>
        <w:rPr>
          <w:b/>
        </w:rPr>
        <w:t>E. 12</w:t>
      </w:r>
    </w:p>
    <w:p>
      <w:r>
        <w:t>septembre 1985 - LPA - E 5 10). 2)</w:t>
      </w:r>
    </w:p>
    <w:p>
      <w:r>
        <w:t>Le litige porte sur la sanction infligée au recourant par l'intimé, soit une réduction de son forfait d'entretien au barème minimum pour une durée de trois mois ainsi que la suppression de ses prestations circonstancielles, à l'exception des éventuelles participations aux frais médicaux et dentaires, en raison d'un manque de collaboration, dû à sa décision unilatérale de démissionner de son poste d'agent de sécurité. 3) a. La LIASI est entrée en vigueur le 19 juin 2007 sous l’intitulé « Loi sur l’aide sociale individuelle (LASI) ». Le titre a été modifié le 1er février 2012.</w:t>
      </w:r>
    </w:p>
    <w:p>
      <w:r>
        <w:t>b. La LIASI a pour but de prévenir l’exclusion sociale et d’aider les personnes qui en souffrent à se réinsérer dans un environnement social et professionnel (art. 1 al. 1 LIASI).</w:t>
      </w:r>
    </w:p>
    <w:p>
      <w:r>
        <w:t>c. Les prestations de l’aide sociale individuelle sont l’accompagnement social, les prestations financières et l’insertion professionnelle (art. 2 LIASI).</w:t>
      </w:r>
    </w:p>
    <w:p>
      <w:r>
        <w:t>d.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e. Les prestations d’aide financière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t>f. Les ressources du mois en cours sont déterminantes pour la fixation des prestations (art. 27 al. 1 let. a LIASI). 4)</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- 7/11 - A/457/2017</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(ATA/239/2015 du 3 mars 2015 ; ATA/368/2010 du 1er juin 2010). 5) a. L’art. 35 LIASI décrit six cas dans lesquels les prestations d'aide financière peuvent être réduites, suspendues, refusées ou supprimées.</w:t>
      </w:r>
    </w:p>
    <w:p>
      <w:r>
        <w:t>Tel est notamment le cas lorsque le bénéficiaire renonce à faire valoir des droits auxquels les prestations d'aides financière sont subsidiaires (art. 35 al. 1 let. b LIASI), lorsqu'il ne s'acquitte pas intentionnellement de son obligation de collaborer telle que prescrite par l'art. 32 LIASI ou qu’il refuse de donner les informations requises au sens de l'art. 7 LIASI (art. 35 al. 1 let. c et d LIASI) ainsi que lorsque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w:t>
      </w:r>
    </w:p>
    <w:p>
      <w:r>
        <w:t>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d’Etat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w:t>
      </w:r>
    </w:p>
    <w:p>
      <w:r>
        <w:t>c. 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 ATA/864/2014 du 4 novembre 2014).</w:t>
      </w:r>
    </w:p>
    <w:p>
      <w:r>
        <w:t>d. Les prestations d’aide financière peuvent être réduites dans les cas visés à l’art. 35 LIASI pendant une durée maximale de douze mois. En cas de manquement aux devoirs imposés par la loi, le forfait pour l’entretien de la</w:t>
      </w:r>
    </w:p>
    <w:p>
      <w:r>
        <w:t>- 8/11 - A/457/2017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 6) a. En vertu de l’art 8 al. 1 let. e LACI, l'assuré a droit à l'indemnité de chômage pour autant, notamment, qu’il remplisse les conditions relatives à la période de cotisation ou qu’il en soit libéré (art. 13 et 14 LACI).</w:t>
      </w:r>
    </w:p>
    <w:p>
      <w:r>
        <w:t>L’art. 13 al. 1 LACI dispose que celui qui, dans les limites du délai-cadre prévu à cet effet (art. 9 al. 3 LACI),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à l’assurance-vieillesse et survivants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de la loi fédérale sur la partie générale du droit des assurances sociales du 6 octobre 2000 - LPGA - RS 830.1)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w:t>
      </w:r>
    </w:p>
    <w:p>
      <w:r>
        <w:t>Par activité soumise à cotisation au sens de l’art. 13 al. 1 LACI, il faut entendre toute activité de l’assuré destinée à l’obtention d’un revenu soumis à cotisation pendant la durée d’un rapport de travail. En ce qui concerne la période de cotisation, la seule condition du droit à l’indemnité de chômage est, en principe, que l’assuré ait exercé une activité soumise à cotisation pendant la</w:t>
      </w:r>
    </w:p>
    <w:p>
      <w:r>
        <w:t>- 9/11 - A/457/2017 période minimale de cotisation (arrêt du Tribunal fédéral C_261/05 du 23 janvier 2007 consid. 3.2).</w:t>
      </w:r>
    </w:p>
    <w:p>
      <w:r>
        <w:t>Le calcul de la période de cotisation s'effectue conformément à l'art. 11 OACI, à savoir que compte comme mois de cotisation chaque mois civil, entier, durant lequel l'assuré est tenu de cotiser (al. 1). Les périodes de cotisation qui n'atteignent pas un mois civil entier sont additionnées et trente jours constituent un mois entier (al. 2). Les périodes assimilées à des périodes de cotisation et celles pour lesquelles l'assuré touche une indemnité de vacances comptent de même (al. 3).</w:t>
      </w:r>
    </w:p>
    <w:p>
      <w:r>
        <w:t>b. Aux termes de l'art. 16 al. 2 LACI, n'est notamment pas réputé convenable et, par conséquent, est exclu de l'obligation d'être accepté, tout travail qui exige du travailleur une disponibilité sur appel constante dépassant le cadre de l'occupation garantie (let. g) ou procure à l'assuré une rémunération qui est inférieure à 70 % du gain assuré, sauf si l'assuré touche des indemnités compensatoires conformément à l'art. 24 LACI (gain intermédiaire) ; l'office régional de placement peut exceptionnellement, avec l'approbation de la commission tripartite, déclarer convenable un travail dont la rémunération est inférieure à 70 % du gain assuré (let. i). 7)</w:t>
      </w:r>
    </w:p>
    <w:p>
      <w:r>
        <w:t>En l'espèce, le recourant estime que sa démission de son poste d'agent de sécurité était justifiée, de sorte que sa décision ne saurait constituer un manquement à son devoir de collaboration impliquant une sanction. À cet égard, il fait valoir que cet emploi, qualifié de non convenable au sens de l'art. 16 LACI, était insuffisant du point de vue du mode de calcul de la période de cotisation requise, pour lui ouvrir un droit aux indemnités de chômage. En outre, ses rapports avec ses collègues et sa hiérarchie, de même que son état de santé ne lui permettaient plus de continuer cette activité.</w:t>
      </w:r>
    </w:p>
    <w:p>
      <w:r>
        <w:t>Bien que la LIASI et la LACI tendent toutes deux au versement de prestations financières par l'État à des administrés, celles-ci ne sauraient pour autant être assimilées, dans la mesure où elles régissent des domaines juridiques différents. In casu, la question n'est en effet pas de savoir si le recourant a satisfait aux obligations prévues par la LACI, pour lesquelles la chambre de céans n'est au demeurant pas compétente ; mais bien d'examiner s'il a respecté celles que lui imposaient la LIASI et le RIASI, conditionnant le versement des prestations d'aide financière par l'intimé. Or, force est de constater que le recourant a effectivement mis fin à une source de revenu lui permettant de réduire dans une certaine mesure la dépendance de son couple à l'aide sociale, sans en informer préalablement son assistant social. Que son emploi soit défini comme convenable ou non au sens d'une autre loi, applicable dans un contexte différent, il lui appartenait impérativement d'évoquer cette problématique en priorité avec son assistant social. Pour avoir signé à plusieurs reprises le document intitulé « Mon engagement en demandant une aide financière à l'Hospice général », il ne</w:t>
      </w:r>
    </w:p>
    <w:p>
      <w:r>
        <w:t>- 10/11 - A/457/2017 pouvait ignorer qu'à défaut, il s'exposait à un manquement à son devoir de collaboration. Le mode de calcul de la période de cotisation au sens de la LACI et de l'OACI ne change rien à cette approche, d'autant plus que le recourant conservait une latitude largement suffisante, vu le nombre d'heures travaillées par mois, pour effectuer des recherches d'emploi en parallèle. Quant au fait que son travail affectait prétendument son état de santé, il sied de relever qu'aucun des certificats médicaux produits n'atteste d'une quelconque incapacité de travail du recourant pour ce motif, alors même que celui-ci continuait son suivi auprès de son médecin.</w:t>
      </w:r>
    </w:p>
    <w:p>
      <w:r>
        <w:t>En ces circonstances, c'est à bon droit que l'intimé l'a sanctionné pour avoir démissionné de son emploi sans lui en faire part préalablement. Sous l'angle de sa quotité, ladite sanction apparaît également proportionnée au manquement du recourant à son devoir de collaboration, dans la mesure où elle a été réduite à trois mois, soit un quart du maximum légal, compte tenu de l'attitude coopérative dont il avait fait preuve jusqu'alors. 8)</w:t>
      </w:r>
    </w:p>
    <w:p>
      <w:r>
        <w:t>Au vu de ce qui précède, le recours, en tous points mal fondé, sera rejeté. 9)</w:t>
      </w:r>
    </w:p>
    <w:p>
      <w:r>
        <w:t>Vu la nature du litige, il ne sera pas perçu d'émolument (art. 87 al. 1 LPA et 11 du règlement sur les frais, émoluments et indemnités en procédure administrative du 30 juillet 1986 - RFPA - E 5 10.03). Vu son issue,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