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ATA/1106/2022 vom 2. November 2022</w:t>
      </w:r>
    </w:p>
    <w:p>
      <w:r>
        <w:t>GE Cour de justice, 2022-11-02, FR</w:t>
      </w:r>
    </w:p>
    <w:p>
      <w:r>
        <w:rPr>
          <w:b/>
        </w:rPr>
        <w:t xml:space="preserve">Quelle: </w:t>
      </w:r>
      <w:r>
        <w:t>https://mcp.opencaselaw.ch/entscheid/ge_gerichte_ATA_1106_2022</w:t>
      </w:r>
    </w:p>
    <w:p>
      <w:r>
        <w:t>FR: GE_GERICHTE ATA/1106/2022 du 2 novembre 2022</w:t>
      </w:r>
    </w:p>
    <w:p>
      <w:r>
        <w:t>IT: GE_GERICHTE ATA/1106/2022 del 2 novembre 2022</w:t>
      </w:r>
    </w:p>
    <w:p>
      <w:pPr>
        <w:pStyle w:val="Heading2"/>
      </w:pPr>
      <w:r>
        <w:t>Erwägungen</w:t>
      </w:r>
    </w:p>
    <w:p>
      <w:r>
        <w:rPr>
          <w:b/>
        </w:rPr>
        <w:t>E. 43</w:t>
      </w:r>
    </w:p>
    <w:p>
      <w:r>
        <w:t>consid. 3.2 ; 131 II 306 consid. 3.1.2).</w:t>
      </w:r>
    </w:p>
    <w:p>
      <w:r>
        <w:t>La protection de l’égalité (art. 8 Cst.) et celle contre l’arbitraire (art. 9 Cst.) sont étroitement liées. Une décision ou un arrêté est arbitraire lorsqu’il ne repose sur aucun motif sérieux et objectif ou n’a ni sens ni but (ATF 141 I 235 consid. 7.1 ; 136 II 120 consid. 3.3.2 ; 133 I 249 consid. 3.3). Selon le Tribunal fédéral, l’inégalité de traitement apparaît comme une forme particulière d’arbitraire, consistant à traiter de manière inégale ce qui devrait l’être de manière semblable ou inversement (ATF 141 I 235 consid. 7.1 ; 129 I 1 consid. 3 ; 127 I 185 consid. 5 ; 125 I 1 consid. 2b.aa). 6)</w:t>
      </w:r>
    </w:p>
    <w:p>
      <w:r>
        <w:t>Dans le cadre des aides Covid, la chambre de céans a eu l’occasion de se pencher sur l’évolution de l’activité économique de l’entreprise et l’établissement de ses CA en vue de déterminer le droit à une aide.</w:t>
      </w:r>
    </w:p>
    <w:p>
      <w:r>
        <w:t>Une société inscrite au RC depuis 2012, qui avait entrepris l’exploitation d’un restaurant dès le mois de juillet 2020, avait changé sa raison sociale au 1er octobre 2020 et dont le CA moyen des exercices 2018 et 2019 était nul, réalise la condition d’inscription au RC avant le 1er mars 2020, la question de l’applicabilité de l’art. 3 al. 2 let. b de l’ordonnance Covid cas de rigueur entré en vigueur le 1er</w:t>
      </w:r>
    </w:p>
    <w:p>
      <w:r>
        <w:t>- 14/17 - A/1761/2022 avril 2021, soit après la décision litigieuse, demeurant ouverte (ATA/1055/2021 du 12 octobre 2021 consid. 7).</w:t>
      </w:r>
    </w:p>
    <w:p>
      <w:r>
        <w:t>L’art. 3 al. 2 du règlement d’application de la loi 12'938, qui renvoie expressément aux sections 1 et 2 de l’ordonnance Covid-19, entend par la « création d'entreprise » sa date d'inscription au RC. La règlementation fédérale n’entend pas couvrir le cas d’anciennes entreprises qui entament de nouvelles activités en février 2020. Le principe d’égalité de traitement n’est pas violé par un traitement distinct de faits distincts à savoir le début d’activité et la reprise d’activité d’une société. De même, la création d’une société et la reprise d’activité après plusieurs années de cessation d’activité n’est juridiquement pas identique. Un traitement différencié entre les deux situations ne viole pas le principe de l’égalité de traitement. (ATA/79/2022 du 25 janvier 2022 consid. 8b et 8c).</w:t>
      </w:r>
    </w:p>
    <w:p>
      <w:r>
        <w:t>La loi ne comporte pas de lacune permettant de prétendre à l’extrapolation du CA réalisé durant le second semestre 2019 au titre de la période de référence (ATA/86/2022 précité consid. 4c).</w:t>
      </w:r>
    </w:p>
    <w:p>
      <w:r>
        <w:t>L’ouverture d’un hôtel le 1er mars 2019, en vue de développer son activité, par une entreprise inscrite au RC depuis 2002, qui exploitait déjà en mars 2019 deux autres établissements, résulte d’un choix économique de cette société que le législateur tant fédéral que cantonal n’a pas entendu prendre en compte dans l’octroi des aides Covid-19. Cette expansion n’est pas comparable à la création d’une nouvelle entreprise (ATA/501/2022 du 11 mai 2022 consid. 8). 7)</w:t>
      </w:r>
    </w:p>
    <w:p>
      <w:r>
        <w:t>En l'espèce, le département intimé a donné suite à la première requête de la recourante sur la base des renseignements et chiffres communiqués dans le formulaire de demande, lui octroyant dans un premier temps une aide financière de CHF 100'282.90. Cette première décision retenait au titre de date de création de la société le 21 mai 2019, telle que mentionnée dans ledit formulaire.</w:t>
      </w:r>
    </w:p>
    <w:p>
      <w:r>
        <w:t>La recourante a, deux mois plus tard, déposé une seconde demande d'aide, au nom d'une autre société qui n'est au demeurant pas inscrite en tant que telle au registre du commerce, mais mentionnant le même numéro IDE que dans la première demande. Dans ce contexte, le département a, à juste titre, procédé à une analyse approfondie de la situation de l'entreprise et constaté que celle-ci, portant l'IDE 1______, avait été inscrite au registre du commerce le 1er novembre 1996.</w:t>
      </w:r>
    </w:p>
    <w:p>
      <w:r>
        <w:t>Conformément au droit et à la jurisprudence précitée, l'intimé a constaté que la date qui devait être retenue au titre de création de l'entreprise était celle de l'inscription au registre du commerce et non celle à laquelle son activité avait été modifiée. La prise en compte de la moyenne pluriannuelle du CA de la société pour les exercices 2018 et 2019 conduisait alors à un recul du CA de 0,91 % en 2020, soit un taux inférieur à 25 %. Dans la mesure où la recourante n'était en conséquence pas éligible à l'octroi d'une aide pour perte économique,</w:t>
      </w:r>
    </w:p>
    <w:p>
      <w:r>
        <w:t>- 15/17 - A/1761/2022 contrairement à ce qui avait été retenu initialement sur la base d'un examen succinct de la situation, seule une aide cas de rigueur pour fermeture à hauteur de CHF 66'583.32, non cumulable avec la précédente, pouvait lui être allouée.</w:t>
      </w:r>
    </w:p>
    <w:p>
      <w:r>
        <w:t>Il n'est pas contesté que la société est inscrite sous l'IDE 1______ depuis 1996 et qu'il ne s'agit pas d'une entreprise nouvellement créée. Le fait que la raison sociale, les statuts et le but de la recourante aient été modifiés au printemps 2019 et que l'exploitation du restaurant lui ait été transférée à cette même période résulte d'un choix économique de la société et ne permet pas de remettre en cause ce qui précède ni de s'écarter de la jurisprudence en la matière, dès lors que le législateur n'a pas voulu prendre en considération ce cas de figure dans le cadre de l'octroi d'aides liées à la crise sanitaire. Le fait que l'activité de la recourante, qui exploitait un garage automobile, ait drastiquement changé pour devenir un restaurant – lequel existait déjà depuis plusieurs années – n'est pas non plus pertinent et ne constitue pas une exception à la règle stricte selon laquelle la prise en compte du CA moyen pour les années 2018 et 2019 n'est en l'occurrence pas possible, compte tenu de la date de création de l'entreprise antérieure au 31 décembre 2017.</w:t>
      </w:r>
    </w:p>
    <w:p>
      <w:r>
        <w:t>Pour le surplus, la recourante ne conteste pas le mode de calcul de l'indemnité pour fermeture opéré par le département, ni le montant de CHF 66'583.32.</w:t>
      </w:r>
    </w:p>
    <w:p>
      <w:r>
        <w:t>En conséquence, le département n'a pas mésusé de son pouvoir d'appréciation ni violé la loi en se fondant sur les faits pertinents pour considérer que la recourante ne réalisait pas les conditions lui permettant de se voir allouer une aide financière pour cas de rigueur économique et en lui demandant la restitution du montant de CHF 33'699.60 correspondant à la part d'indemnisation indûment perçue.</w:t>
      </w:r>
    </w:p>
    <w:p>
      <w:r>
        <w:t>Mal fondé, le recours sera rejeté. 8)</w:t>
      </w:r>
    </w:p>
    <w:p>
      <w:r>
        <w:t>Vu l’issue du litige, un émolument de CHF 500.- sera mis à la charge de la recourante (art. 87 al. 1 LPA). Aucune indemnité de procédure ne sera allouée à cette dernière, ni au département qui, bien que plaidant par un avocat, dispose d’un service juridique (art. 87 al. 2 LPA ; ATA/1738/2019 du 3 décembre 2019).</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