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ATA/1105/2016 vom 28. Dezember 2016</w:t>
      </w:r>
    </w:p>
    <w:p>
      <w:r>
        <w:t>GE Cour de justice, 2016-12-28, FR</w:t>
      </w:r>
    </w:p>
    <w:p>
      <w:r>
        <w:rPr>
          <w:b/>
        </w:rPr>
        <w:t xml:space="preserve">Quelle: </w:t>
      </w:r>
      <w:r>
        <w:t>https://mcp.opencaselaw.ch/entscheid/ge_gerichte_ATA_1105_2016</w:t>
      </w:r>
    </w:p>
    <w:p>
      <w:r>
        <w:t>FR: GE_GERICHTE ATA/1105/2016 du 28 décembre 2016</w:t>
      </w:r>
    </w:p>
    <w:p>
      <w:r>
        <w:t>IT: GE_GERICHTE ATA/1105/2016 del 28 dicembre 2016</w:t>
      </w:r>
    </w:p>
    <w:p>
      <w:pPr>
        <w:pStyle w:val="Heading2"/>
      </w:pPr>
      <w:r>
        <w:t>Erwägungen</w:t>
      </w:r>
    </w:p>
    <w:p>
      <w:r>
        <w:rPr>
          <w:b/>
        </w:rPr>
        <w:t>E. 1</w:t>
      </w:r>
    </w:p>
    <w:p>
      <w:r>
        <w:t>Interjeté en temps utile – soit dans le délai de dix jours dès la notification du jugement querellé – devant la juridiction compétente, le recours est recevable sous ces aspects (art. 132 de la loi sur l'organisation judiciaire du 26 septembre 2010 - LOJ - E 2 05 ; art. 62 al. 1 let. a de la loi sur la procédure administrative du 12 septembre 1985 - LPA - E 5 10 ; art. 10 al. 1 de la loi d'application de la LEtr du 16 juin 1988 - LaLEtr - F 2 10).</w:t>
      </w:r>
    </w:p>
    <w:p>
      <w:r>
        <w:rPr>
          <w:b/>
        </w:rPr>
        <w:t>E. 2</w:t>
      </w:r>
    </w:p>
    <w:p>
      <w:r>
        <w:t>Selon l’art. 10 al. 2 1ère phr. LaLEtr, la chambre administrative doit statuer dans les dix jours qui suivent sa saisine. Ayant reçu le recours le 20 décembre 2016 et statuant ce jour, elle respecte ce délai.</w:t>
      </w:r>
    </w:p>
    <w:p>
      <w:r>
        <w:t>La chambre administrative est en outre compétente pour apprécier l'opportunité des décisions portées devant elle en cette matière (art. 10 al. 2 2ème phr. LaLEtr).</w:t>
      </w:r>
    </w:p>
    <w:p>
      <w:r>
        <w:rPr>
          <w:b/>
        </w:rPr>
        <w:t>E. 3</w:t>
      </w:r>
    </w:p>
    <w:p>
      <w:r>
        <w:t>La détention administrative porte une atteinte grave à la liberté personnelle et ne peut être ordonnée que dans le respect de l'art. 5 CEDH ;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w:t>
      </w:r>
    </w:p>
    <w:p>
      <w:r>
        <w:t>- 6/10 - A/4176/2016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5</w:t>
      </w:r>
    </w:p>
    <w:p>
      <w:r>
        <w:t>a. En l'espèce, le recourant fait l'objet d'une décision de renvoi définitive et exécutoire, prononcée par l’OCPM le 22 septembre 2014. La première condition est en conséquence remplie.</w:t>
      </w:r>
    </w:p>
    <w:p>
      <w:r>
        <w:t>b. Le juge de la détention doit établir un pronostic, en déterminant s’il existe des garanties que l’étranger prêtera son concours à l’exécution du renvoi le moment venu.</w:t>
      </w:r>
    </w:p>
    <w:p>
      <w:r>
        <w:t>En l’espèce, le recourant, qui dispose d’une adresse connue des autorités suisses, s’est initialement régulièrement présenté aux rendez-vous qui lui avaient été fixés par l’OCPM, avant de ne plus donner suite entre avril 2015 et décembre 2016, cela sans explication aucune avant son interpellation le 6 décembre 2016. Il</w:t>
      </w:r>
    </w:p>
    <w:p>
      <w:r>
        <w:t>- 7/10 - A/4176/2016 a alors prétendu qu’il était hospitalisé ou sous l’effet de médicaments lors des précédentes convocations. Toutefois, aucune pièce ne permet d’étayer ces allégations, non plus que de comprendre pour quelle raison il n’a pas spontanément contacté l’OCPM pour fournir toutes explications utiles après chaque rendez-vous manqué.</w:t>
      </w:r>
    </w:p>
    <w:p>
      <w:r>
        <w:t>Par ailleurs, l’intéressé a affirmé à réitérées reprises ne pas vouloir retourner au Burkina Faso, tant devant l’OCPM que devant le commissaire de police. Il a réaffirmé sa position devant le TAPI lors de l’audience du 8 décembre 2016, précisant, de plus, qu’il ne monterait pas à bord du vol sur lequel une place lui serait réservée.</w:t>
      </w:r>
    </w:p>
    <w:p>
      <w:r>
        <w:t>Il laisse dès lors clairement apparaître, par ses déclarations et son comportement, qu'il n'est pas disposé à retourner dans son pays d'origine. Conformément à ce qu’exige la jurisprudence relative à l'art. 76 al. 1 let. b ch. 3 LEtr, il ne s’agit pas d’une simple supposition que la personne pourrait se soustraire au renvoi, mais d’un pronostic du comportement du recourant fondé sur des éléments concrets qui font craindre que le recourant entende se soustraire au renvoi (ATA/1075/2016 du 20 décembre 2016). En regard de ce comportement antérieur, son intention affichée pour la première fois dans ses écritures de recours d’être désormais prêt à collaborer à l’exécution de son renvoi apparaît trop tardive et circonstancielle pour être crédible.</w:t>
      </w:r>
    </w:p>
    <w:p>
      <w:r>
        <w:t>Au vu de ce qui précède, les conditions d’application de l’art. 76 al. 1 let. b ch. 3 et 4 LEtr sont remplies.</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En outre, à teneur de l’art. 76 al. 4 LEtr, les démarches nécessaires à l'exécution du renvoi ou de l'expulsion doivent être entreprises sans tarder.</w:t>
      </w:r>
    </w:p>
    <w:p>
      <w:r>
        <w:rPr>
          <w:b/>
        </w:rPr>
        <w:t>E. 7</w:t>
      </w:r>
    </w:p>
    <w:p>
      <w:r>
        <w:t>a. En l’espèce, aucune autre mesure, moins incisive, n’est apte à garantir la présence du recourant lors de l’exécution du renvoi, celui-ci ayant clairement affirmé sa volonté de ne pas être renvoyé dans son pays d’origine et ayant menacé de s’opposer physiquement à l’exécution de son renvoi. La détention est en conséquence apte à atteindre le but voulu par le législateur, s’avère nécessaire compte tenu de l’attitude adoptée par le recourant et proportionnée au sens étroit,</w:t>
      </w:r>
    </w:p>
    <w:p>
      <w:r>
        <w:t>- 8/10 - A/4176/2016 dès lors que conformément à la jurisprudence, si l’intérêt du recourant à pouvoir rester en Suisse, où il est établi qu’il demeure depuis 2009 seulement et non depuis 1998 comme il l’allègue sans le démontrer, est compréhensible, l’intérêt public au respect des décisions des autorités suisses doit primer. La détention, autorisée pour une durée d’un mois, respecte en conséquence le principe de la proportionnalité.</w:t>
      </w:r>
    </w:p>
    <w:p>
      <w:r>
        <w:t>b. Les autorités disposent depuis le 20 décembre 2016 du rapport médical leur permettant de finaliser l’organisation du départ du recourant, qui est au bénéfice d’un passeport valable.</w:t>
      </w:r>
    </w:p>
    <w:p>
      <w:r>
        <w:t>Le principe de célérité est ainsi respecté.</w:t>
      </w:r>
    </w:p>
    <w:p>
      <w:r>
        <w:rPr>
          <w:b/>
        </w:rPr>
        <w:t>E. 8</w:t>
      </w:r>
    </w:p>
    <w:p>
      <w:r>
        <w:t>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En l’espèce, le recourant se prévaut de son état de santé qui rendrait son renvoi impossible au sens de l’article 80 al. 6 LEtr. Il ressort des documents médicaux figurant au dossier que le recourant est connu et suivi pour un état dépressif sévère avec symptômes psychotiques ainsi que, notamment, une anxiété importante et des idéations suicidaires. Toutefois, le dernier rapport médical établi le 20 décembre 2016 par un médecin de l’équipe des HUG qui suit l’intéressé depuis sa mise détention administrative ne fait pas mention d’une impossibilité de voyager en raison de l’état de santé de celui-ci et est muet au sujet des conditions de prise en charge sur place. Par ailleurs, les autorités en charge de l’exécution du renvoi sont attentives à l’évolution de la situation et prêtes à solliciter des autorités fédérales compétentes un accompagnement médical si nécessaire. C’est le lieu de relever que, selon l'art. 27 al. 1 LUSC, tout rapatriement sous contrainte par voie aérienne doit être préparé par l'organe compétent en fonction des circonstances de</w:t>
      </w:r>
    </w:p>
    <w:p>
      <w:r>
        <w:t>- 9/10 - A/4176/2016 chaque cas. Un examen médical doit avoir lieu avant le départ : lorsque la personne concernée le demande (let. a), lorsque l'état de la personne laisse supposer des problèmes de santé (let. b).</w:t>
      </w:r>
    </w:p>
    <w:p>
      <w:r>
        <w:t>En l’état l’exécution du renvoi n’apparaît pas impossible ni inexigible.</w:t>
      </w:r>
    </w:p>
    <w:p>
      <w:r>
        <w:rPr>
          <w:b/>
        </w:rPr>
        <w:t>E. 9</w:t>
      </w:r>
    </w:p>
    <w:p>
      <w:r>
        <w:t>Au vu de ce qui précède, le recours sera rejeté.</w:t>
      </w:r>
    </w:p>
    <w:p>
      <w:r>
        <w:rPr>
          <w:b/>
        </w:rPr>
        <w:t>E. 10</w:t>
      </w:r>
    </w:p>
    <w:p>
      <w:r>
        <w:t>Vu la nature du litige, il ne sera pas perçu d’émolument (art. 87 al. 1 LPA et</w:t>
      </w:r>
    </w:p>
    <w:p>
      <w:r>
        <w:rPr>
          <w:b/>
        </w:rPr>
        <w:t>E. 12</w:t>
      </w:r>
    </w:p>
    <w:p>
      <w:r>
        <w:t>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