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ATA/1103/2017 vom 18. Juli 2017</w:t>
      </w:r>
    </w:p>
    <w:p>
      <w:r>
        <w:t>GE Cour de justice, 2017-07-18, FR</w:t>
      </w:r>
    </w:p>
    <w:p>
      <w:r>
        <w:rPr>
          <w:b/>
        </w:rPr>
        <w:t xml:space="preserve">Quelle: </w:t>
      </w:r>
      <w:r>
        <w:t>https://mcp.opencaselaw.ch/entscheid/ge_gerichte_ATA_1103_2017</w:t>
      </w:r>
    </w:p>
    <w:p>
      <w:r>
        <w:t>FR: GE_GERICHTE ATA/1103/2017 du 18 juillet 2017</w:t>
      </w:r>
    </w:p>
    <w:p>
      <w:r>
        <w:t>IT: GE_GERICHTE ATA/1103/2017 del 18 luglio 2017</w:t>
      </w:r>
    </w:p>
    <w:p>
      <w:pPr>
        <w:pStyle w:val="Heading2"/>
      </w:pPr>
      <w:r>
        <w:t>Regeste</w:t>
      </w:r>
    </w:p>
    <w:p>
      <w:r>
        <w:t>Résumé: Confirmation de la révocation du permis d'établissement d'un ressortissant tunisien âgé de 46 ans, arrivé en Suisse à l'âge de 25 ans, en raison des infractions pénales commises (18 condamnations, soit plus de 27 mois de PPL et 325 jours-amendes). Proportionnalité de la mesure confirmée dès lors qu'un risque de récidive apparaît hautement probable, que l'intégration professionnelle n'est pas bonne (pas de travail, dettes et dépendance à l'aide sociale) et que sa réintégration dans son pays d'origine n'est pas impossible. S'il entretient une relation affective étroite avec sa fille cadette mineure, il n'y a pas de lien particulièrement fort du point de vue économique puisqu'il ne verse pas une contribution pour son entretien. Renvoi possible, licite et exigible.</w:t>
      </w:r>
    </w:p>
    <w:p>
      <w:pPr>
        <w:pStyle w:val="Heading2"/>
      </w:pPr>
      <w:r>
        <w:t>Erwägungen</w:t>
      </w:r>
    </w:p>
    <w:p>
      <w:r>
        <w:rPr>
          <w:b/>
        </w:rPr>
        <w:t>E. 12</w:t>
      </w:r>
    </w:p>
    <w:p>
      <w:r>
        <w:t>septembre 1985 - LPA - E 5 10). 2)</w:t>
      </w:r>
    </w:p>
    <w:p>
      <w:r>
        <w:t>Le recourant demande la suspension de la procédure jusqu'à droit connu sur les actuelles procédures pénales ouvertes à son encontre.</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b. L’art. 14 LPA est une norme potestative et son texte clair ne prévoit pas la suspension systématique de la procédure chaque fois qu’une autorité civile, pénale ou administrative est parallèlement saisie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(ATA/26/2017 du 17 janvier 2017 consid. 2b).</w:t>
      </w:r>
    </w:p>
    <w:p>
      <w:r>
        <w:t>- 14/26 - A/163/2016</w:t>
      </w:r>
    </w:p>
    <w:p>
      <w:r>
        <w:t>c. En l'espèce, l'issue des procédures pénales ouvertes à l'encontre du recourant est sans incidence sur la présente procédure compte tenu, notamment, du passé pénal de celui-ci.</w:t>
      </w:r>
    </w:p>
    <w:p>
      <w:r>
        <w:t>Dès lors, la demande de suspension de procédure sera rejetée. 3)</w:t>
      </w:r>
    </w:p>
    <w:p>
      <w:r>
        <w:t>Le recourant sollicite, à titre préalable, son audition, ainsi que celle de sa fille aînée et de l'auteur de l'attestation du 18 décembre 2015 qu'il avait produite à l'appui de son recours.</w:t>
      </w:r>
    </w:p>
    <w:p>
      <w:r>
        <w:t>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 du Tribunal fédéral 1C_588/2014 du 22 juin 2015 consid. 2.1 ; ATA/219/2017 du 21 février 2017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w:t>
      </w:r>
    </w:p>
    <w:p>
      <w:r>
        <w:rPr>
          <w:b/>
        </w:rPr>
        <w:t>E. 16</w:t>
      </w:r>
    </w:p>
    <w:p>
      <w:r>
        <w:t>décembre 2005 (LEtr - RS 142.20),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CP (art. 62 al. 1 let. b LEtr). La réalisation de l’un de ces deux motifs suffit au prononcé de la révocation (arrêts du Tribunal fédéral 2C_204/2012 du 25 septembre 2012 consid. 2.2 ; 2C_750/2011 du 10 mai 2012 consid. 3.1).</w:t>
      </w:r>
    </w:p>
    <w:p>
      <w:r>
        <w:t>b. Quand le refus d'octroyer une autorisation de séjour ainsi que la révocation d’une autorisation d’établissement se fondent sur la commission d'une infraction, la peine infligée par le juge pénal est le premier critère servant à évaluer la gravité de la faute et à procéder à la pesée des intérêts en présence (arrêts du Tribunal fédéral 2C_139/2013 du 11 juin 2013 consid. 7.1 ; 2C_148/2010 du 11 octobre 2010 consid. 4.1 ; 2C_418/2009 du 30 novembre 2009 ; 2C_464/2009 du</w:t>
      </w:r>
    </w:p>
    <w:p>
      <w:r>
        <w:rPr>
          <w:b/>
        </w:rPr>
        <w:t>E. 21</w:t>
      </w:r>
    </w:p>
    <w:p>
      <w:r>
        <w:t>octobre 2009 consid. 5 ; ATA/384/2016 du 3 mai 2016 consid. 4c).</w:t>
      </w:r>
    </w:p>
    <w:p>
      <w:r>
        <w:t>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précité consid. 4b).</w:t>
      </w:r>
    </w:p>
    <w:p>
      <w:r>
        <w:t>Les infractions à la LStup constituent également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w:t>
      </w:r>
    </w:p>
    <w:p>
      <w:r>
        <w:t>- 17/26 - A/163/2016 sont mêlés au commerce des stupéfiants doivent s'attendre à faire l'objet d'une mesure d'éloignement (arrêts du Tribunal fédéral 2A.7/2004 du 2 août 2004 consid. 5.1 ; 2A.615/2002 du 21 avril 2004 consid. 4.4 ; ATA/384/2016 précité consid. 4c).</w:t>
      </w:r>
    </w:p>
    <w:p>
      <w:r>
        <w:t>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LEtr (ATF 139 I 16 consid. 2.1 ; arrêts du Tribunal fédéral 2C_699/2014 du 1er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 8)</w:t>
      </w:r>
    </w:p>
    <w:p>
      <w:r>
        <w:t>En l'espèce, M. A______ a été condamné à dix-huit reprises, sur une période de quinze ans (2000 à 2015), totalisant vingt-sept mois et vingt jours de peine privative de liberté, ainsi que trois-cents-vingt-cinq jours-amende. S'agissant des motifs des condamnations, dont certaines portent sur plusieurs biens juridiques protégés, dix se rapportent à des infractions à la LCR, cinq concernent des infractions à la LStup, quatre relèvent des infractions contre le patrimoine, trois concernent des infractions contre l'autorité publique, deux ont trait aux infractions contre la vie et l'intégrité corporelle (lésions corporelles simples), deux relèvent de crimes et délits contre la liberté, une relève de crime ou délit contre la famille et une concerne une infraction à la LArm. Ainsi, le recourant a, d'une part, lésé un bien juridique particulièrement important, soit l'intégrité physique. D'autre part, il a commis de nombreuses infractions à la LStup, ce qui constitue également une atteinte grave à l'ordre et à la sécurité publics. Enfin, s'agissant des autres infractions commises, si elles présentent comparativement un degré de gravité moins élevé que les infractions à la LStup, les actes de violence criminelle et les infractions contre l'intégrité sexuelle, leurs répétitions en l'espèce démontrent chez le recourant une incapacité à se conformer à l'ordre établi.</w:t>
      </w:r>
    </w:p>
    <w:p>
      <w:r>
        <w:t>- 18/26 - A/163/2016</w:t>
      </w:r>
    </w:p>
    <w:p>
      <w:r>
        <w:t>Par ses agissements, le recourant attente ainsi sans aucun doute de manière très grave à la sécurité et l’ordre publics en Suisse.</w:t>
      </w:r>
    </w:p>
    <w:p>
      <w:r>
        <w:t>Dès lors, c'est conformément au droit que le DSE, confirmé en cela par le TAPI, a considéré que les conditions d'une révocation de l'autorisation d'établissement découlant de l'art. 63 al. 1 let. b LEtr, par renvoi de l'art. 63 al. 2 LEtr, étaient remplies. 9)</w:t>
      </w:r>
    </w:p>
    <w:p>
      <w:r>
        <w:t>Même lorsqu'un motif de révocation de l'autorisation est réalisé, le prononcé de la révocation ne se justifie que si la pesée des intérêts à effectuer dans le cas d'espèce fait apparaître la mesure comme proportionnée aux circonstances (ATF 135 II 377 consid. 4.3 ; arrêt du Tribunal fédéral 2C_19/2011 du 27 septembre 2011 consid. 4.1).</w:t>
      </w:r>
    </w:p>
    <w:p>
      <w:r>
        <w:t>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 139 I 31 consid. 2.3.1 ; 139 I 16 consid. 2.2.1 ; arrêt du Tribunal fédéral 2C_1103/2013 du 26 juillet 2014 ; ATA/968/2016 du 15 novembre 2016 consid. 9).</w:t>
      </w:r>
    </w:p>
    <w:p>
      <w:r>
        <w:t>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La durée de présence en Suisse d'un étranger constitue un autre critère très important. Plus cette durée est longue, plus les conditions pour prononcer l'expulsion administrative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précité consid. 6a).</w:t>
      </w:r>
    </w:p>
    <w:p>
      <w:r>
        <w:t>- 19/26 - A/163/2016</w:t>
      </w:r>
    </w:p>
    <w:p>
      <w:r>
        <w:t>Le Tribunal fédéral a ainsi confirmé la révocation de l'autorisation d'établissement d'un ressortissant espagnol, arrivé en Suisse à l'âge de cinq ans et âgé de quarante-sept ans lors de la décision de révocation de son permis d'établissement, lequel avait été condamné à une unique peine privative de liberté de quatre ans pour trafic de drogue (arrêt du Tribunal fédéral 2C_695/2016 du 1er décembre 2016). Le Tribunal fédéral a, par exemple, également confirmé la révocation du permis d'établissement d'un ressortissant portugais, né en Suisse, et ayant été condamné à sept reprises en sept ans pour de nombreuses infractions, comprenant des infractions contre l'intégrité corporelle (arrêt du Tribunal fédéral 2C_565/2013 du 6 décembre 2013), et d'un ressortissant chilien, né à Genève, condamné à plusieurs peines privatives de liberté dont la plus importante était de trente mois, alors qu'il avait été retenu que son intégration professionnelle était bonne (arrêt du Tribunal fédéral 2C_982/2015 du 20 juillet 2016). 10)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consid. 11).</w:t>
      </w:r>
    </w:p>
    <w:p>
      <w:r>
        <w:t>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vingt-cinq ans et n'ont pas eux-mêmes de conjoint ou d'enfants (ACEDH Bousarra c. France du 23 septembre 2010, req. 25672/07, § 38-39 ; A.A. c. Royaume-Uni du 20 septembre 2011, req. 8000/08, § 48-49 ; ATA/513/2017 du 9 mai 2017 consid. 7a). S’agissant d’autres relations entre proches parents,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ATA/1087/2016 du 20 décembre 2016).</w:t>
      </w:r>
    </w:p>
    <w:p>
      <w:r>
        <w:t>- 20/26 - A/163/2016</w:t>
      </w:r>
    </w:p>
    <w:p>
      <w:r>
        <w:t>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 139 I 315 consid. 2.5 ; arrêt du Tribunal fédéral 2C_165/2014 du 18 juillet 2014 consid. 4.2). En outre, les autres conditions d'une prolongation de l'autorisation doivent être remplies également. Le parent étranger doit ainsi entretenir une relation économique particulièrement forte avec son enfant et avoir fait preuve en Suisse d'un comportement irréprochable (ATF 139 I 315 consid. 2.5 ; arrêts du Tribunal fédéral 2C_1153/2013 du 10 juillet 2014 consid. 2.2 ; 2C_117/2014 du 27 juin 2014 consid. 4.1.2 ; 2C_318/2013 du 5 septembre 2013 consid. 3.3.2). 11) En l'espèce, le recourant est arrivé en Suisse en 1996 à l'âge de vingt-cinq ans. Aujourd'hui âgé de quarante-six ans, il réside sur le territoire helvétique depuis vingt et un ans. Depuis l'an deux mille, la vie du recourant est rythmée par les condamnations pénales, puisqu'il a déjà été condamné à dix-huit reprises, la dernière condamnation remontant au 17 avril 2015, pour des violations du CP, de la LCR, de la LStup ainsi que de la LArm, ce qui dénote clairement une incapacité à se conformer à l'ordre juridique suisse. Les différents avertissements adressés au recourant par l'OCPM en date des 24 mars 2000, 2 août 2000 et 12 février 2013, tout comme sa responsabilité de père de famille, n'ont aucunement dissuadé ce dernier à poursuivre ses activités délictuelles. Par ailleurs, contrairement à ce qu'il fait valoir, rien au dossier ne laisse à supposer une réelle prise de conscience de sa part quant à l'inadmissibilité de son comportement. Compte tenu de son passé pénal, le risque de récidive dans la commission de nouvelles infractions apparaît ainsi hautement probable. Ce constat est renforcé par les deux procédures pénales ouvertes à son encontre en 2016, respectivement 2017, pour détention et vente de stupéfiants, vol, dommage à la propriété et utilisation frauduleuse d'un ordinateur. Enfin, sa bonne entente avec une administration genevoise, laquelle ressort notamment de l'attestation susmentionnée du 18 décembre 2015 et n'est au</w:t>
      </w:r>
    </w:p>
    <w:p>
      <w:r>
        <w:t>- 21/26 - A/163/2016 demeurant pas contestée, n'est pas de nature à contrebalancer ce qui précède puisqu'il n'a pour sa part pas lui-même cessé ses activités délictuelles.</w:t>
      </w:r>
    </w:p>
    <w:p>
      <w:r>
        <w:t>S'agissant de son intégration professionnelle, celle-ci ne peut être qualifiée de bonne, bien qu'il vive en Suisse depuis plus de vingt ans. S'il a effectivement commencé à travailler rapidement après son arrivé en Suisse, il apparaît qu'il a bénéficié de prestations financières du 1er décembre 2005 au 30 septembre 2008 et à nouveau à compter du 1er janvier 2010. Ainsi, entre 2010 et 2014, il a perçu CHF 162'507.15 de prestations de l'hospice, en sus des prestations perçues entre 2005 et 2008. Il a par ailleurs accumulé, à teneur d'une attestation de l'office des poursuites du 19 décembre 2014, des dettes à hauteur de CHF 83'892.45. À l'exception d'un emploi temporaire, intervenu selon ses dires entre les mois de novembre 2015 et de novembre 2016, et d'une formation de cinquante jours survenues pendant sa détention aux établissements de Bellechasse, il apparaît que le recourant n'a eu aucune activité professionnelle depuis plus de dix ans. Par ailleurs, nonobstant les lettres de soutien produites, le recourant n'établit pas l'existence de liens sociaux spécialement intenses avec la Suisse, notablement supérieurs à ceux qui résultent d'une intégration ordinaire.</w:t>
      </w:r>
    </w:p>
    <w:p>
      <w:r>
        <w:t>Sur le plan familial, le recourant est séparé de son épouse depuis plusieurs années déjà. La décision de révocation du permis d'établissement ne remet aucunement en question le droit de ses filles de résider en Suisse, seul le recourant étant concerné par la mesure d’éloignement. Sa fille aînée est actuellement âgée de dix-neuf ans, ne vit pas avec lui et ne se trouve dans aucun rapport de dépendance, de sorte qu'il ne peut se prévaloir de la protection de l'art. 8 CEDH à son égard. Sa fille cadette, D______, est en revanche mineure et âgée actuellement de seize ans. Il ressort du dossier que le recourant entretient effectivement une relation affective étroite avec celle-ci. En revanche, il ne présente pas un lien familial particulièrement fort d'un point de vue économique avec elle. S'il ressort des déclarations concomitantes des époux A______ et de leur fille aînée que le recourant verse de l'argent de poche à ses filles quand il le peut, il ne ressort pas des déclarations de Mme B______ que celui-ci verserait une pension alimentaire pour l'entretien de D______. Il n'a versé d'ailleurs aucune pièce au dossier permettant d'attester d'éventuels versements. Si Mme C______ a effectivement indiqué que son père versait entre CHF 500.- à CHF 1'000.- par mois, elle a également indiqué que sa mère et son père réglaient entre eux la question de l'argent relatif à leur entretien. Il est d'ailleurs assez improbable que le recourant puisse verser les montants cités par sa fille au vu de sa situation financière. Par ailleurs, comme déjà mentionné, le recourant n'a clairement pas fait l'objet d'un comportement irréprochable en Suisse. Enfin, les rapports personnels qu’il entretient avec D______ pourraient perdurer grâce aux moyens de télécommunication usuels (téléphone, internet) et lors de visites durant les vacances scolaires qui pourraient s'effectuer en Suisse ou à l'étranger.</w:t>
      </w:r>
    </w:p>
    <w:p>
      <w:r>
        <w:t>- 22/26 - A/163/2016</w:t>
      </w:r>
    </w:p>
    <w:p>
      <w:r>
        <w:t>S'agissant de sa réintégration dans son pays d'origine, son long séjour en Suisse rend un départ certes difficile, mais la Tunisie n'est pas un pays qui lui est étranger, dans la mesure où il y a vécu jusqu'à ses vingt-cinq ans. Contrairement à ses premières déclarations, sur lesquelles il est revenu par la suite, et conformément au témoignage de sa fille aînée, il apparaît qu'il entretient de bons rapports avec sa famille vivant en Tunisie, en particulier avec sa mère, ses deux sœurs, son frère, ses neveux et ses nièces. Si son intégration professionnelle en Tunisie ne serait certainement pas exempte de difficultés, on ne voit pas qu'elle serait radicalement plus difficile qu'en Suisse. De plus, il pourrait bénéficier du soutien moral et financier de sa famille, le recourant ayant notamment indiqué, lors de son audition par la chambre administrative, que cette dernière lui envoyait déjà de l'argent. 12) Au vu de l’ensemble de ces éléments, l’autorité intimée était fondée à révoquer l’autorisation d’établissement du recourant en application de l’art. 63 al. 2 LEtr. C'est ainsi à raison que le TAPI a confirmé ladite révocation. 13)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[ci-après : TAF] C-374/2014 du 2 mars</w:t>
      </w:r>
    </w:p>
    <w:p>
      <w:r>
        <w:t>- 23/26 - A/163/2016 2016 consid. 6.4 ; D-5434/2009 du 4 février 2013 consid. 15.1 ; E-5092/2013 du 29 octobre 2013 consid 6.1 ; ATA/189/2016 du 1er mars 2016).</w:t>
      </w:r>
    </w:p>
    <w:p>
      <w:r>
        <w:t>Par rapport aux problèmes de santé,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Cela dit, il sied de préciser que si, dans un cas d'espèce, l'état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(arrêt du TAF E-255/2014 du 15 juillet 2014 consid. 4.2 ; E-6800/2006 du 28 avril 2008 consid. 3.2).</w:t>
      </w:r>
    </w:p>
    <w:p>
      <w:r>
        <w:t>En l’espèce, aucune pièce au dossier ne fait état d’une impossibilité de renvoyer le recourant. Il ressort des pièces produites par celui-ci qu'il a fait l'objet d'un suivi médical, ces dernières années, pour des brûlures survenues en 2014, une anémie liée à une carence d'acide folique, une sécheresse cutanée au niveau des cuisses, des douleurs lombaires chroniques, une lésion méniscale interne, une allergie ainsi qu'une anxiété généralisée. Ces différents maux ne sauraient être considérés comme relevant d'une sérieuse atteinte à la santé nécessitant des soins indisponibles en Tunisie. En outre, malgré ses allégations et sans autre élément de preuve, rien ne laisse à penser que l'intégrité physique du recourant serait réellement et concrètement compromise en cas d’exécution du renvoi en Tunisie. Dès lors, c'est à bon droit que son renvoi a été prononcé et que l'exécution de son renvoi a été ordonnée. 14) Au vu de ce qui précède, le recours sera rejeté. 15) Vu l’issue du litige, un émolument de CHF 400.- sera mis à la charge du recourant, qui succombe (art. 87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