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ATA/1101/2017 vom 18. Juli 2017</w:t>
      </w:r>
    </w:p>
    <w:p>
      <w:r>
        <w:t>GE Cour de justice, 2017-07-18, FR</w:t>
      </w:r>
    </w:p>
    <w:p>
      <w:r>
        <w:rPr>
          <w:b/>
        </w:rPr>
        <w:t xml:space="preserve">Quelle: </w:t>
      </w:r>
      <w:r>
        <w:t>https://mcp.opencaselaw.ch/entscheid/ge_gerichte_ATA_1101_2017</w:t>
      </w:r>
    </w:p>
    <w:p>
      <w:r>
        <w:t>FR: GE_GERICHTE ATA/1101/2017 du 18 juillet 2017</w:t>
      </w:r>
    </w:p>
    <w:p>
      <w:r>
        <w:t>IT: GE_GERICHTE ATA/1101/2017 del 18 luglio 2017</w:t>
      </w:r>
    </w:p>
    <w:p>
      <w:pPr>
        <w:pStyle w:val="Heading2"/>
      </w:pPr>
      <w:r>
        <w:t>Erwägungen</w:t>
      </w:r>
    </w:p>
    <w:p>
      <w:r>
        <w:rPr>
          <w:b/>
        </w:rPr>
        <w:t>E. 17</w:t>
      </w:r>
    </w:p>
    <w:p>
      <w:r>
        <w:t>décembre 2007 - RMP - L 6 05.01 ; art. 132 de la loi sur l'organisation judiciaire du 26 septembre 2010 - LOJ - E 2 05). 2)</w:t>
      </w:r>
    </w:p>
    <w:p>
      <w:r>
        <w:t>L’AIMP a pour objectif l’ouverture des marchés publics, notamment des communes (art. 1 al. 1 AIMP). Il vise à harmoniser les règles de passation des marchés, ainsi qu’à transposer les obligations découlant de l’accord GATT/OMC et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t>- 4/7 - A/2139/2017 3)</w:t>
      </w:r>
    </w:p>
    <w:p>
      <w:r>
        <w:t>Ne sont prises en considération par le pouvoir adjudicateur que les offres accompagnées, pour le soumissionnaire et ses sous-traitants, d’une part, à teneur de l’art. 32 al. 1 let. a RMP d’attestations justifiant que la couverture du personnel en matière d'assurances sociales est assurée conformément à la législation en vigueur au siège du soumissionnaire, et que ce dernier est à jour avec le paiement de ses cotisations, d’autre part, à teneur de l’art. 32 al. 1 let. b RMP, soit d’une attestation certifiant, pour le personnel appelé à travailler sur territoire genevois, soit que le soumissionnaire est lié par la convention collective de travail de sa branche, applicable à Genève,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4)</w:t>
      </w:r>
    </w:p>
    <w:p>
      <w:r>
        <w:t>En vertu de l'art. 42 al. 1 let. b RMP, l'offre est écartée d'office lorsque le soumissionnaire ne répond pas aux conditions pour être admis à soumissionner ; les offres écartées ne sont pas évaluées ; l'autorité adjudicatrice rend une décision d'exclusion motivée, notifiée par courrier à l'intéressé, avec mention des voies de recours (al. 3). 5)</w:t>
      </w:r>
    </w:p>
    <w:p>
      <w:r>
        <w:t>Le droit des marchés publics est formaliste, comme la chambre de céans l’a déjà rappelé à plusieurs reprises et c’est dans le respect de ce formalisme que l’autorité adjudicatrice doit procéder à l’examen de la recevabilité des offres et à leur évaluation (ATA/420/2016 du 24 mai 2016 consid. 5c ; ATA/1216/2015 du 10 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w:t>
      </w:r>
    </w:p>
    <w:p>
      <w:r>
        <w:t>- 5/7 - A/2139/2017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 6)</w:t>
      </w:r>
    </w:p>
    <w:p>
      <w:r>
        <w:t>En l’occurrence, la recourante admet que, dans le délai imparti pour le dépôt des offres, elle n’a fourni aucune des attestations requises pour fonder son droit de participer à la soumission, soit à la phase d’examen des soumissions. En l’absence de tels documents, représentant, en l’espèce, la totalité des attestations demandées à l’art. 32 al. 1 RMP, non seulement le pouvoir adjudicateur était en droit de prononcer son exclusion du marché en vertu de l’art. 42 al. 1 RMP, mais, compte tenu de l’importance des attestations manquantes, il n’avait aucune marge de manœuvre à ce sujet et se devait de prendre la décision litigieuse, à défaut de quoi, il se serait trouvé violer gravement le principe d’intangibilité des offres découlant du principe de transparence, et celui d’égalité de traitement entre soumissionnaires (art. 1 al. 3 let. b et c AIMP). Le fait que la recourante ait été en mesure de produire cette documentation dans le cadre de la procédure de recours n’est pas pertinent. Il lui incombait de prendre toutes dispositions pour se les procurer en temps utile, soit dans un délai lui permettant de les joindre à son offre dans le délai de soumission imparti à tous les concurrents. 7)</w:t>
      </w:r>
    </w:p>
    <w:p>
      <w:r>
        <w:t>Manifestement mal fondé, le recours sera rejeté sans qu’il y ait besoin d’ouvrir une instruction (art. 72 LPA). 8)</w:t>
      </w:r>
    </w:p>
    <w:p>
      <w:r>
        <w:t>Vu l’issue du recours, un émolument de CHF 1'000.- sera mis à la charge de la recourante (art. 87 al. 1 LPA). Aucune indemnité de procédure ne sera allouée.</w:t>
      </w:r>
    </w:p>
    <w:p>
      <w:r>
        <w:t>- 6/7 - A/2139/2017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