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ATA/1101/2016 vom 28. Dezember 2016</w:t>
      </w:r>
    </w:p>
    <w:p>
      <w:r>
        <w:t>GE Cour de justice, 2016-12-28, FR</w:t>
      </w:r>
    </w:p>
    <w:p>
      <w:r>
        <w:rPr>
          <w:b/>
        </w:rPr>
        <w:t xml:space="preserve">Quelle: </w:t>
      </w:r>
      <w:r>
        <w:t>https://mcp.opencaselaw.ch/entscheid/ge_gerichte_ATA_1101_2016</w:t>
      </w:r>
    </w:p>
    <w:p>
      <w:r>
        <w:t>FR: GE_GERICHTE ATA/1101/2016 du 28 décembre 2016</w:t>
      </w:r>
    </w:p>
    <w:p>
      <w:r>
        <w:t>IT: GE_GERICHTE ATA/1101/2016 del 28 dicembre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19 décembre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L’objet du litige est une prolongation de la détention administrative du recourant fondée sur l’art. 76 al. 1 let. b ch. 1, 3 et 4 LEtr, ordonnée le 21 septembre 2016 par le commissaire de police et confirmée le 22 septembre par le TAPI, dont le jugement n’a pas fait l’objet de recours auprès de la chambre de céans. La demande de l’OCPM du 25 novembre 2016 est sans équivoque à cet égard, nonobstant l’erreur de plume dans l’intitulé. Le jugement du TAPI est clair.</w:t>
      </w:r>
    </w:p>
    <w:p>
      <w:r>
        <w:t>- 6/10 - A/4031/2016 L’argumentation soutenue par le recourant quant à une éventuelle confusion est aux conséquences qu’il prétend en tirer est ainsi téméraire.</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2C_478/2012 du 14 juin 2012 consid. 2.1).</w:t>
      </w:r>
    </w:p>
    <w:p>
      <w:r>
        <w:rPr>
          <w:b/>
        </w:rPr>
        <w:t>E. 5</w:t>
      </w:r>
    </w:p>
    <w:p>
      <w:r>
        <w:t>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w:t>
      </w:r>
    </w:p>
    <w:p>
      <w:r>
        <w:t>- 7/10 - A/4031/2016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6</w:t>
      </w:r>
    </w:p>
    <w:p>
      <w:r>
        <w:t>En l’espèce, les conditions de la détention administrative du recourant sont remplies dans leur principe, ainsi que l’a retenu le TAPI, tant par l’application de l'art. 76 al. 1 let. b ch. 3 et 4 LEtr que par celle de l’art. 76 al. 1 let. b ch. 1 LEtr, qui renvoie à l’art. 75 al. 1 let. h LEtr, au vu de ses antécédents pénaux et de son absence constante de collaboration à l’exécution de son renvoi, notamment en cachant sa véritable identité, en n’entreprenant aucune démarche en vue d’obtenir des documents lui permettant de voyager ou encore en s’opposant physiquement à son départ le 27 septembre 2016.</w:t>
      </w:r>
    </w:p>
    <w:p>
      <w:r>
        <w:rPr>
          <w:b/>
        </w:rPr>
        <w:t>E. 7</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- 8/10 - A/4031/2016</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rPr>
          <w:b/>
        </w:rPr>
        <w:t>E. 8</w:t>
      </w:r>
    </w:p>
    <w:p>
      <w:r>
        <w:t>Dans le cas présent, au vu de l’attitude du recourant qui n’a entrepris aucune démarche visant à quitter spontanément la Suisse et qui refuse de retourner en Guinée-Bissau, et compte-tenu de l’intérêt public prépondérant à assurer l’exécution de son renvoi de Suisse en raison de ses activités pénales, on ne voit pas quelle solution moins incisive que la détention administrative pourrait être ordonnée.</w:t>
      </w:r>
    </w:p>
    <w:p>
      <w:r>
        <w:t>De leur côté, les autorités suisses ont agi avec diligence et célérité, en entreprenant des démarches de longue haleine visant à identifier l’intéressé, puis à organiser son renvoi, en réservant une place sur un vol spécial et en faisant en sorte de pouvoir disposer des documents de voyage utiles le moment venu. Le fait qu’un premier vol spécial ait été annulé ne saurait, au vu du dossier, leur être imputé. Le recourant ne peut prétendre quant à lui en tirer argument in casu, dès lors qu’il lui suffisait de prendre le vol du 27 septembre 2016 pour mettre fin à sa détention administrative.</w:t>
      </w:r>
    </w:p>
    <w:p>
      <w:r>
        <w:t>Enfin, si la durée totale de la détention administrative approche de la limite maximale prévue par la loi, elle apparaît au vu de l’ensemble des circonstances du cas d’espèce, conforme au principe de la proportionnalité.</w:t>
      </w:r>
    </w:p>
    <w:p>
      <w:r>
        <w:rPr>
          <w:b/>
        </w:rPr>
        <w:t>E. 9</w:t>
      </w:r>
    </w:p>
    <w:p>
      <w:r>
        <w:t>Par ailleurs, rien ne permet de retenir que l’exécution du renvoi du recourant serait impossible pour des motifs d'ordre juridique ou matériel.</w:t>
      </w:r>
    </w:p>
    <w:p>
      <w:r>
        <w:rPr>
          <w:b/>
        </w:rPr>
        <w:t>E. 10</w:t>
      </w:r>
    </w:p>
    <w:p>
      <w:r>
        <w:t>Vu ce qui précède, le jugement querellé est conforme au droit et le recours sera rejeté.</w:t>
      </w:r>
    </w:p>
    <w:p>
      <w:r>
        <w:rPr>
          <w:b/>
        </w:rPr>
        <w:t>E. 11</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r>
        <w:t>- 9/10 - A/4031/2016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