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ATA/1100/2018 vom 16. Oktober 2018</w:t>
      </w:r>
    </w:p>
    <w:p>
      <w:r>
        <w:t>GE Cour de justice, 2018-10-16, FR</w:t>
      </w:r>
    </w:p>
    <w:p>
      <w:r>
        <w:rPr>
          <w:b/>
        </w:rPr>
        <w:t xml:space="preserve">Quelle: </w:t>
      </w:r>
      <w:r>
        <w:t>https://mcp.opencaselaw.ch/entscheid/ge_gerichte_ATA_1100_2018</w:t>
      </w:r>
    </w:p>
    <w:p>
      <w:r>
        <w:t>FR: GE_GERICHTE ATA/1100/2018 du 16 octobre 2018</w:t>
      </w:r>
    </w:p>
    <w:p>
      <w:r>
        <w:t>IT: GE_GERICHTE ATA/1100/2018 del 16 ottobre 2018</w:t>
      </w:r>
    </w:p>
    <w:p>
      <w:pPr>
        <w:pStyle w:val="Heading2"/>
      </w:pPr>
      <w:r>
        <w:t>Erwägungen</w:t>
      </w:r>
    </w:p>
    <w:p>
      <w:r>
        <w:rPr>
          <w:b/>
        </w:rPr>
        <w:t>E. 12</w:t>
      </w:r>
    </w:p>
    <w:p>
      <w:r>
        <w:t>septembre 1985 - LPA - E 5 10). 2.</w:t>
      </w:r>
    </w:p>
    <w:p>
      <w:r>
        <w:t>Alors que le TAPI a exposé que seule la décision de renvoi formait l’objet du litige et qu’il ne pouvait ainsi entrer en matière sur la demande de délivrance d’une autorisation de séjour, le recourant persiste à solliciter celle-ci, sans autre explication.</w:t>
      </w:r>
    </w:p>
    <w:p>
      <w:r>
        <w:t>Or, comme l’a relevé le premier juge, l’objet du litige correspond à l’objet de la décision attaquée (ATF 136 V 362 consid. 3.4 et 4.2 ; 134 V 418 consid. 5.2.1). Le recourant ne peut ainsi pas prendre, dans son mémoire de recours, des conclusions qui sortent du cadre des questions qui ont été traitées dans la procédure antérieure. L’autorité de recours n’examine donc pas les prétentions qui n’ont pas fait l’objet du prononcé de l’instance inférieure, sous peine d’enfreindre le principe de l’épuisement des voies de droit préalables (ATA/456/2018 du 8 mai 2018 consid. 2 ; ATA/319/2015 du 31 mars 2015).</w:t>
      </w:r>
    </w:p>
    <w:p>
      <w:r>
        <w:t>En l’espèce, la décision querellée porte sur la décision de renvoi de l’autorité intimée. En tant que le recourant sollicite la délivrance d’un « permis B pour étude ou à quelque autre titre que ce soit », ses conclusions dépassent le cadre de la décision de renvoi ; elles sont ainsi irrecevables, n’ayant pas fait l’objet d’un examen de la part de l’autorité intimée.</w:t>
      </w:r>
    </w:p>
    <w:p>
      <w:r>
        <w:t>Ne peut donc qu’être examiné le bien-fondé de la décision de renvoi. 3. a. La LEtr et ses ordonnances d'exécution, en particulier l’ordonnance relative à l'admission, au séjour et à l'exercice d'une activité lucrative du 24 octobre 2007 (OASA - RS 142.201), règlent l'entrée, le séjour et la sortie de Suisse des étrangers dont le statut juridique n'est pas réglé par d'autres dispositions du droit fédéral ou par des traités internationaux conclus par la Suisse (art. 1 et 2 LEtr),</w:t>
      </w:r>
    </w:p>
    <w:p>
      <w:r>
        <w:t>- 7/10 - A/3310/2017</w:t>
      </w:r>
    </w:p>
    <w:p>
      <w:r>
        <w:t>Selon l'art. 64 al. 1 LEtr, les autorités compétentes rendent une décision de renvoi ordinaire à l'encontre d'un étranger qui n'a pas d'autorisation alors qu'il y est tenu (let. a), ainsi qu'à l'encontre d'un étranger qui ne remplit pas ou ne remplit plus les conditions d'entrée en Suisse (let. b).</w:t>
      </w:r>
    </w:p>
    <w:p>
      <w:r>
        <w:t>Les conditions d'entrée en Suisse évoquées par l'art. 64 al. 1 let. b LEtr, sont fixées à l'art. 5 al. 1 LEtr qui dispose notamment que tout étranger doit, pour entrer en Suisse, avoir une pièce de légitimation reconnue pour le passage de la frontière et être muni d'un visa si ce dernier est requis (let. a) et disposer des moyens financiers nécessaires à son séjour (let. b).</w:t>
      </w:r>
    </w:p>
    <w:p>
      <w:r>
        <w:t>À teneur de l'art. 10 LEtr, tout étranger peut séjourner en Suisse sans exercer d'activité lucrative pendant trois mois sans autorisation, sauf si la durée fixée dans le visa est plus courte (al. 1). L'étranger qui prévoit un séjour plus long sans activité lucrative doit être titulaire d'une autorisation qu'il doit en principe solliciter avant son entrée en Suisse auprès de l'autorité compétente du lieu de résidence envisagé (al. 2).</w:t>
      </w:r>
    </w:p>
    <w:p>
      <w:r>
        <w:t>b. Le renvoi d’un étranger ne peut être ordonné que si l’exécution de celui-ci est possible, licite ou peut être raisonnablement exigée (art. 83 al. 1 LEtr). L'exécution du renvoi n’est pas possible lorsque l’intéressé ne peut quitter la Suisse pour son État d’origine, son État de provenance ou un État tiers ni être renvoyé dans un de ces États (art. 83 al. 2 LEtr). Elle n’est pas licite lorsque le renvoi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w:t>
      </w:r>
    </w:p>
    <w:p>
      <w:r>
        <w:t>c. Selon l’art. 8 de la Constitution fédérale de la Confédération suisse du 18 avril 1999 (Cst. - RS 101), tous les êtres humains sont égaux devant la loi (al. 1) et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w:t>
      </w:r>
    </w:p>
    <w:p>
      <w:r>
        <w:t>Cette disposition constitutionnelle concrétise en droit interne suisse le principe de non-discrimination contenu à l’art. 14 CEDH, lequel ne peut toutefois être invoqué que conjointement aux droits et libertés conventionnellement reconnus (ATF 139 I 257 consid. 5.3.1 ; Andreas AUER/Giorgio MALINVERNI/Michel HOTTELIER, Droit constitutionnel suisse, vol. II, 3ème édition, 2013, p. 476 n. 1018 s).</w:t>
      </w:r>
    </w:p>
    <w:p>
      <w:r>
        <w:t>d. Exprimé aux art. 9 et 5 al. 3 Cst., le principe de la bonne foi entre administration et administré exige que l’une et l’autre se comportent réciproquement de manière loyale. En particulier, l’administration doit s’abstenir</w:t>
      </w:r>
    </w:p>
    <w:p>
      <w:r>
        <w:t>- 8/10 - A/3310/2017 de toute attitude propre à tromper l’administré et elle ne saurait tirer aucun avantage des conséquences d’une incorrection ou insuffisance de sa part (ATF 138 I 49 consid. 8.3 ; arrêt du Tribunal fédéral 2C_227/2015 du 31 mai 2016 consid. 7). 4.</w:t>
      </w:r>
    </w:p>
    <w:p>
      <w:r>
        <w:t>En l’espèce, le recourant est arrivé en Suisse le 23 juin 2012, muni d’un visa Schengen, qui a expiré le 1er juillet 2012. Après l’échéance de son visa, il a continué à séjourner en Suisse, sans être au bénéfice d’une autorisation. Dès lors qu’il était démuni de tout titre de séjour, l’OCPM a, à bon droit, prononcé son renvoi, en application de l’art. 64 al. 1 let. a et b LEtr.</w:t>
      </w:r>
    </w:p>
    <w:p>
      <w:r>
        <w:t>Contrairement à ce que soutient le recourant, la loi n’opère pas de discrimination entre ressortissantes européens et extra-européens : l’art. 64 al. 1 LEtr s’applique de la même manière aux ressortissants étrangers démunis de titre de séjour, quelle que soit leur provenance. Il n’y a donc aucune inégalité de traitement, prohibée par les art. 8 Cst et 14 CEDH.</w:t>
      </w:r>
    </w:p>
    <w:p>
      <w:r>
        <w:t>Le recourant ne peut davantage se prévaloir d’une violation de l’art. 9 Cst. Aucun élément ne permet de retenir que l’autorité intimée aurait agi de manière contraire au principe de la bonne foi. Dès qu’elle a eu connaissance, en juin 2017, de ce que le recourant séjournait illégalement en Suisse, elle l’y a rendu attentif, l’a informé de son intention de prononcer son renvoi et l’a invité à se déterminer à ce sujet. Par ailleurs, en tant que le recourant allègue avoir de bonne foi tardé à s’annoncer à l’OCPM et à solliciter une autorisation de séjour, il n’apporte aucun élément sur la base duquel il aurait pu, de bonne foi, croire qu’il ne nécessitait pas une autorisation de séjour après que son visa d’entrée était arrivé à échéance.</w:t>
      </w:r>
    </w:p>
    <w:p>
      <w:r>
        <w:t>Enfin, le recourant invoque l'art. 26 de la Déclaration universelle des droits de l'homme du 10 décembre 1948. Cet instrument ne fait cependant pas partie des traités conclus par la Suisse dont la violation pourrait faire l'objet d'un recours en matière de droit public ou qui conférerait un droit subjectif aux justiciables dont ces derniers pourraient se prévaloir dans le cadre d'un tel recours (arrêts du Tribunal fédéral 2C_6/2018 du 4 janvier 2018 consid. 4 et 9C_545/2015 du</w:t>
      </w:r>
    </w:p>
    <w:p>
      <w:r>
        <w:rPr>
          <w:b/>
        </w:rPr>
        <w:t>E. 15</w:t>
      </w:r>
    </w:p>
    <w:p>
      <w:r>
        <w:t>octobre consid. 4.3 ; ATF 124 III 205 consid. 3a).</w:t>
      </w:r>
    </w:p>
    <w:p>
      <w:r>
        <w:t>Au surplus, il ne ressort pas du dossier que l’exécution du renvoi ne serait pas possible, pas licite ou qu’elle ne pourrait être raisonnablement exigée (art. 83 al. 1 LEtr). Au contraire, le recourant a expliqué qu’il souhaitait retourner dans son pays d’origine et y trouver un emploi après ses études.</w:t>
      </w:r>
    </w:p>
    <w:p>
      <w:r>
        <w:t>Entièrement mal fondé, le recours sera donc rejeté.</w:t>
      </w:r>
    </w:p>
    <w:p>
      <w:r>
        <w:t>Le présent arrêt rend sans objet la requête d’effet suspensif.</w:t>
      </w:r>
    </w:p>
    <w:p>
      <w:r>
        <w:t>- 9/10 - A/3310/2017 5.</w:t>
      </w:r>
    </w:p>
    <w:p>
      <w:r>
        <w:t>Au vu de l’issue du litige, un émolument de CHF 550.- sera mis à la charge du recourant, qui succombe (art. 87 al. l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