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ATA/10/2014 vom 7. Januar 2014</w:t>
      </w:r>
    </w:p>
    <w:p>
      <w:r>
        <w:t>GE Cour de justice, 2014-01-07, FR</w:t>
      </w:r>
    </w:p>
    <w:p>
      <w:r>
        <w:rPr>
          <w:b/>
        </w:rPr>
        <w:t xml:space="preserve">Quelle: </w:t>
      </w:r>
      <w:r>
        <w:t>https://mcp.opencaselaw.ch/entscheid/ge_gerichte_ATA_10_2014</w:t>
      </w:r>
    </w:p>
    <w:p>
      <w:r>
        <w:t>FR: GE_GERICHTE ATA/10/2014 du 7 janvier 2014</w:t>
      </w:r>
    </w:p>
    <w:p>
      <w:r>
        <w:t>IT: GE_GERICHTE ATA/10/2014 del 7 gennaio 2014</w:t>
      </w:r>
    </w:p>
    <w:p>
      <w:pPr>
        <w:pStyle w:val="Heading2"/>
      </w:pPr>
      <w:r>
        <w:t>Regeste</w:t>
      </w:r>
    </w:p>
    <w:p>
      <w:r>
        <w:t>Résumé: Bien que M. N. dispose d'une certaine autonomie dans la gestion quotidienne du magasin, les décisions importantes et stratégiques concernant la société sont prises par les recourants. Investi d'un pouvoir de signature collective à deux avec l'un des deux recourants, il ne peut pas représenter seul la société, ni accéder aux comptes de cette dernière. Tenu d'assurer une présence continue durant les jours et heures ouvrables du magasin, il ne peut pas quitter en tout temps son lieu de travail et son contrat ne lui permet pas de choisir librement la durée et la période de ses vacances. Rémunéré par un salaire fixe de CHF 3'500 pour un taux d'activité de 80 %, il n'encourt aucun risque en cas de déficits et ne perçoit aucune participation en cas de bénéfices de la société. De plus, son salaire ne correspond pas à une fonction dirigeante élevée, au regard des chiffres publiés par l'OCSTAT. Dans ces circonstances, c'est à juste titre que le service a refusé d'entrer en matière sur la déclaration de fonction dirigeante élevée du magasin de la rue de B. établie en faveur de M. N..</w:t>
      </w:r>
    </w:p>
    <w:p>
      <w:pPr>
        <w:pStyle w:val="Heading2"/>
      </w:pPr>
      <w:r>
        <w:t>Erwägungen</w:t>
      </w:r>
    </w:p>
    <w:p>
      <w:r>
        <w:rPr>
          <w:b/>
        </w:rPr>
        <w:t>E. 26</w:t>
      </w:r>
    </w:p>
    <w:p>
      <w:r>
        <w:t>septembre 2010 - LOJ - E 2 05 ; art. 62 de la loi sur la procédure administrative du 12 septembre 1985 - LPA – E 5 10). 2) a. En vertu de l'article 64 LPA, le recours est formé par écrit et adressé à la juridiction administrative appelée à en connaître.</w:t>
      </w:r>
    </w:p>
    <w:p>
      <w:r>
        <w:t>- 11/15 - A/566/2013</w:t>
      </w:r>
    </w:p>
    <w:p>
      <w:r>
        <w:t>A teneur des art. 12 ss de la loi fédérale complétant le Code civil suisse du</w:t>
      </w:r>
    </w:p>
    <w:p>
      <w:r>
        <w:rPr>
          <w:b/>
        </w:rPr>
        <w:t>E. 30</w:t>
      </w:r>
    </w:p>
    <w:p>
      <w:r>
        <w:t>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(ATA/12/2006 du 10 janvier 2006 et les références citées).</w:t>
      </w:r>
    </w:p>
    <w:p>
      <w:r>
        <w:t>b. Selon l’art. 9 al. 1 LPA,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L’aptitude à agir comme mandataire professionnellement qualifié devant la chambre administrative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 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w:t>
      </w:r>
    </w:p>
    <w:p>
      <w:r>
        <w:t>c. En l’espèce, contrairement à un certain nombre d’autres courriers portant uniquement la signature d’une collaboratrice de la société ATTAC sans bénéficier d’une procuration attestant de son pouvoir de représentation, le recours interjeté le 4 février 2013 a été contresigné par M. A______. De plus, la question de la qualité de mandataire professionnellement qualifié de la société ATTAC peut demeurer ouverte au vu de ce qui suit. 3)</w:t>
      </w:r>
    </w:p>
    <w:p>
      <w:r>
        <w:t>La loi sur les heures d’ouverture des magasins du 15 novembre 1968 (LHOM - I 1 05) s’applique à tous les magasins sis sur le territoire du canton de Genève (art. 1 LHOM). Le département est chargé de l’application de la LHOM (art. 2 LHOM).</w:t>
      </w:r>
    </w:p>
    <w:p>
      <w:r>
        <w:t>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w:t>
      </w:r>
    </w:p>
    <w:p>
      <w:r>
        <w:t>- 12/15 - A/566/2013 travailleurs exerçant une fonction dirigeante élevée au sens de la LTr et qui sont tenus de s'annoncer au département. 4)</w:t>
      </w:r>
    </w:p>
    <w:p>
      <w:r>
        <w:t>Sous réserve des régimes particuliers et des dispositions relatives aux fermetures retardées, l’heure de fermeture ordinaire des magasins est 19h00 (art. 9 al. 1 LHOM). L’heure de fermeture du vendredi est 19h30 (art. 9 al. 2 LHOM). Celle du samedi est 18h00 (art. 9 al. 3 LHOM). Les magasins peuvent rester ouverts un soir par semaine jusqu’à 21h00 (art. 14 LHOM).</w:t>
      </w:r>
    </w:p>
    <w:p>
      <w:r>
        <w:t>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5)</w:t>
      </w:r>
    </w:p>
    <w:p>
      <w:r>
        <w:t>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w:t>
      </w:r>
    </w:p>
    <w:p>
      <w:r>
        <w:t>Aux termes de l’art. 1 du règlement d’exécution de la loi sur les heures d’ouverture des magasins du 21 février 1969 (RHOM - I 1 05.01), les travailleurs exerçant une fonction dirigeante élevée sont tenus, en application de l’art. 30 al. 2 LHOM, de s'annoncer au département et remplissent à cet effet une déclaration ad hoc sur le formulaire édicté par le service. Tout changement de situation susceptible de modifier l'une ou l'autre des informations ainsi transmises audit service doit lui être immédiatement communiqué (al. 1). Le service peut en tout temps exiger la production d'autres documents justifiant la fonction dirigeante élevée (al. 2). A la demande du service, et en cas de doute de ce dernier concernant l'exercice réel d'une fonction dirigeante élevée au sens de la LTr, l’OCIRT donne son avis (al. 3). Le service tient un registre des déclarations des travailleurs exerçant une fonction dirigeante élevée (al. 4). 6)</w:t>
      </w:r>
    </w:p>
    <w:p>
      <w:r>
        <w:t>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 J. et N. S.A. du 15 janvier 1997 ; ATA J. et N. S.A. du 23 août 1995 ; ATA G. S.A. du 5 février 1992 ; ATA H.O.L. S.A. du 24 juin 1987 ; Secrétariat d’Etat à l’économie, commentaire de la LTr et des OLT 1 et 2, 6ème mise à jour</w:t>
      </w:r>
    </w:p>
    <w:p>
      <w:r>
        <w:t>- 13/15 - A/566/2013 2011, p. 109-1, consultable en ligne sur le site http://www.seco.admin.ch/ dokumentation/publikation/00009/00027/01569/index.html?lang=fr).</w:t>
      </w:r>
    </w:p>
    <w:p>
      <w:r>
        <w:t>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 GEISER, Commentaire de la loi sur le travail, 2005, ch. 19 à 22 ad art. 3 LTr; M. REHBINDER /R. A. MÜLLER, Arbeitsgesetz, 5ème éd., 1998, n. 1 ad art. 3 al. 1 let. d, p. 38 ; F. W. BIGLER, Kommentar zum Arbeitsgesetz, 3ème éd., n. 7 ad art. 3 LTr).</w:t>
      </w:r>
    </w:p>
    <w:p>
      <w:r>
        <w:t>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7)</w:t>
      </w:r>
    </w:p>
    <w:p>
      <w:r>
        <w:t>En l’espèce, M. N______ a été engagé en qualité de responsable des commandes, des contrôles de marchandise et de la caisse du magasin de la rue de B______. Bien qu’il dispose d’une certaine autonomie dans la gestion quotidienne de ce magasin, les décisions importantes et stratégiques concernant la société sont prises par les recourants.</w:t>
      </w:r>
    </w:p>
    <w:p>
      <w:r>
        <w:t>Investi d’un pouvoir de signature collective à deux avec l’un des deux recourants, il ne peut pas représenter seul la société, ni accéder aux comptes de cette dernière. Dès lors, il ne peut pas gérer de manière indépendante les finances du magasin. Tenu d’assurer une présence continue durant les jours et heures ouvrables du magasin, il ne peut pas quitter en tout temps son lieu de travail et son contrat ne lui permet pas de choisir librement la durée et la période de ses vacances. Rémunéré par un salaire fixe de CHF 3'500 pour un taux d’activité de 80 %, il n’encourt aucun risque en cas de déficits et ne perçoit aucune participation en cas de bénéfices de la société. De plus, son salaire ne correspond pas à une fonction dirigeante élevée, au regard des chiffres publiés par l’OCSTAT : dans le canton de Genève, le salaire mensuel brut médian standardisé dans le commerce du détail s’élève à CHF 6'500.- pour un travail indépendant et très qualifié, respectivement à CHF 9'183.- pour les travaux les plus exigeants et les tâches les plus difficiles ; il atteint en moyenne CHF 11'889.- pour un cadre moyen et CHF 13'200.- pour un cadre supérieur, toutes branches économiques confondues (cf. tableaux de l’OCSTAT mis à jour le 2 avril 2012 et consultables en ligne sur le site : http://www.ge.ch/statistique/domaines/03/03_04/tableaux.asp #1).</w:t>
      </w:r>
    </w:p>
    <w:p>
      <w:r>
        <w:t>- 14/15 - A/566/2013</w:t>
      </w:r>
    </w:p>
    <w:p>
      <w:r>
        <w:t>Dans ces circonstances, c’est à juste titre que le service a refusé d’entrer en matière sur la déclaration de fonction dirigeante élevée du magasin de la rue de B______ établie en faveur de M. N______. 8)</w:t>
      </w:r>
    </w:p>
    <w:p>
      <w:r>
        <w:t>Au vu de ce qui précède, le recours devra être rejeté. 9)</w:t>
      </w:r>
    </w:p>
    <w:p>
      <w:r>
        <w:t>Un émolument de CHF 200.- sera mis à la charge des recourants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