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ATA/109/2015 vom 27. Januar 2015</w:t>
      </w:r>
    </w:p>
    <w:p>
      <w:r>
        <w:t>GE Cour de justice, 2015-01-27, FR</w:t>
      </w:r>
    </w:p>
    <w:p>
      <w:r>
        <w:rPr>
          <w:b/>
        </w:rPr>
        <w:t xml:space="preserve">Quelle: </w:t>
      </w:r>
      <w:r>
        <w:t>https://mcp.opencaselaw.ch/entscheid/ge_gerichte_ATA_109_2015</w:t>
      </w:r>
    </w:p>
    <w:p>
      <w:r>
        <w:t>FR: GE_GERICHTE ATA/109/2015 du 27 janvier 2015</w:t>
      </w:r>
    </w:p>
    <w:p>
      <w:r>
        <w:t>IT: GE_GERICHTE ATA/109/2015 del 27 gennaio 2015</w:t>
      </w:r>
    </w:p>
    <w:p>
      <w:pPr>
        <w:pStyle w:val="Heading2"/>
      </w:pPr>
      <w:r>
        <w:t>Regeste</w:t>
      </w:r>
    </w:p>
    <w:p>
      <w:r>
        <w:t>Résumé: Examen de la notion de « terrain naturel » comme point de référence au sol pour le calcul du gabarit d'une construction. Il apparaît conforme et cohérent avec la règlementation genevoise de se fonder sur le niveau du terrain naturel retenu dans les anciennes autorisations de construire délivrées pour l'immeuble concerné par une surélévation.</w:t>
      </w:r>
    </w:p>
    <w:p>
      <w:pPr>
        <w:pStyle w:val="Heading2"/>
      </w:pPr>
      <w:r>
        <w:t>Erwägungen</w:t>
      </w:r>
    </w:p>
    <w:p>
      <w:r>
        <w:rPr>
          <w:b/>
        </w:rPr>
        <w:t>E. 12</w:t>
      </w:r>
    </w:p>
    <w:p>
      <w:r>
        <w:t>septembre 1985 - LPA - E 5 10). 2)</w:t>
      </w:r>
    </w:p>
    <w:p>
      <w:r>
        <w:t>Devant la chambre de céans, le litige porte sur le gabarit de l’immeuble dont la surélévation est contestée et plus particulièrement sur l’altitude de référence de la cour jouxtant l’immeuble, nécessaire pour déterminer ledit gabarit. 3)</w:t>
      </w:r>
    </w:p>
    <w:p>
      <w:r>
        <w:t>Les prescriptions matérielles en matière de construction, lorsqu’elles règlementent la mesure de l’utilisation du sol, telles les prescriptions sur les dimensions d’un bâtiment, les distances et les différents indices ainsi que l’ordre des constructions, concrétisent le régime d’utilisation du sol fixé dans les plans d’affectation. Elles poursuivent principalement des buts d’aménagement du territoire mais également de police.</w:t>
      </w:r>
    </w:p>
    <w:p>
      <w:r>
        <w:t>- 10/14 - A/1645/2013</w:t>
      </w:r>
    </w:p>
    <w:p>
      <w:r>
        <w:t>S’agissant de la hauteur d’une construction, l’attache du point de mesure inférieur, notamment, doit être fixée dans la réglementation cantonale qu’il s’agisse du niveau du sol naturel, éventuellement du terrain aménagé ou du niveau de la route ou de la chaussée (P. ZEN-RUFFINEN/C. GUY-ECABERT, Aménagement du territoire, construction, expropriation, 2001. p. 374 ss et p. 385). 4)</w:t>
      </w:r>
    </w:p>
    <w:p>
      <w:r>
        <w:t>Le droit genevois prévoit que la hauteur de la ligne verticale du gabarit ne peut dépasser nulle part 30 m, concernant les immeuble dont la surélévation est envisagée (art. 23 al. 6 de la loi sur les constructions et les installations diverses du 14 avril 1988 - LCI - L 5 05).</w:t>
      </w:r>
    </w:p>
    <w:p>
      <w:r>
        <w:t>Pour le calcul du gabarit, le point de référence au sol est mesuré conformément aux dispositions du plan d’aménagement ou des prescriptions du département ou, à défaut, à partir du niveau moyen du terrain naturel adjacent (art. 20 al. 1 du règlement d’application de la loi sur les constructions et les installations diverses du 27 février 1978 - RCI - L 5 05.01).</w:t>
      </w:r>
    </w:p>
    <w:p>
      <w:r>
        <w:t>En l’espèce, en l’absence de plan d’aménagement, le calcul du gabarit doit se faire à partir du niveau moyen du terrain naturel adjacent, soit celui côté cour, s’agissant de la façade arrière de l’immeuble, le même gabarit devant être appliqué à toutes les faces d’une construction, à l’exception des murs en attente (art. 22 al. 2 LCI). La question de l’existence d’une éventuelle prescription du département sera examinée plus loin. 5)</w:t>
      </w:r>
    </w:p>
    <w:p>
      <w:r>
        <w:t>Les parties divergent sur ce niveau de référence. La recourante et le département estiment qu’il s’agit de l’altitude retenue au moment de la délivrance de l’autorisation de construire l’immeuble qui doit être surélevé et donc, le niveau avant l’aménagement de la cour et son creusement, qui doit être retenu ; la ville et les habitants voisins estiment, quant à eux, que c’est l’altitude actuelle de la cour aménagée.</w:t>
      </w:r>
    </w:p>
    <w:p>
      <w:r>
        <w:t>a. La règlementation genevoise ne prévoit pas de définition plus explicite de la notion de « terrain naturel » et la jurisprudence genevoise en la matière n’a pas développé d’autres principes qui permettraient, dans certaines situations, d’y assimiler un terrain modifié ou aménagé.</w:t>
      </w:r>
    </w:p>
    <w:p>
      <w:r>
        <w:t>b. L’AIHC, auquel le canton de Genève n’a pas encore adhéré, prévoit que le terrain de référence équivaut au terrain naturel. Si celui-ci ne peut être déterminé en raison d’excavations et de remblais antérieurs, la référence est le terrain naturel environnant. Toutefois, pour des motifs liés à l’aménagement du territoire ou à l’équipement, le terrain de référence peut être déterminé différemment dans le cadre d’une procédure de planification ou d’autorisation de construire (art. 1.1 AIHC). Cette possibilité est prévue principalement pour des raisons de sécurité liées aux crues, par exemple (Patrick VALLAT, Harmonisation de la terminologie du droit de la construction SJ 2008 II p. 52)</w:t>
      </w:r>
    </w:p>
    <w:p>
      <w:r>
        <w:t>- 11/14 - A/1645/2013</w:t>
      </w:r>
    </w:p>
    <w:p>
      <w:r>
        <w:t>c. Certaines législations cantonales prévoient une notion plus dynamique du terrain de référence permettant de considérer, à certaines conditions, comme terrain naturel, un terrain aménagé (ZBl 2006 p. 322, note d’Arnold MARTI). À titre d’exemple, la jurisprudence vaudoise concernant le terrain naturel, terme auquel se réfère également sa législation, prévoit trois conditions cumulatives pour qu’un terrain aménagé soit considéré comme « naturel ». L’apport de terre doit être intervenu de nombreuses années avant l’édification de la construction projetée, les travaux de remblayage ont porté sur un secteur d’une certaine étendue afin de ne pas compromettre les intérêts des propriétaires voisins et il faut encore que l’aménagement ne semble pas avoir été effectué en vue d’une construction à édifier à plus ou moins bref délai (arrêt de la cour de droit administratif et public du Tribunal cantonal vaudois du 16 juin 2009 ; RDAF 1984 p. 156 ; RDAF 1974 p. 226). Ces conditions se retrouvent en droit valaisan, où elles sont fixées dans un glossaire annexé à l’ordonnance cantonale sur les constructions du 2 octobre 1996 (arrêt du Tribunal fédéral 1C_331/2012 consid. 2). 6)</w:t>
      </w:r>
    </w:p>
    <w:p>
      <w:r>
        <w:t>En l’espèce, il a pu être déterminé que les travaux projetés concernent un bâtiment existant dûment autorisé. La réglementation s’agissant des points de référence du gabarit de hauteur n’a pas été modifiée depuis l’édification de l’immeuble. L’aménagement de la cour a été réalisé après la construction du bâtiment dont la surélévation est litigieuse.</w:t>
      </w:r>
    </w:p>
    <w:p>
      <w:r>
        <w:t>En conséquence, il apparaît conforme et cohérent avec la réglementation genevoise de se fonder, dans ces circonstances, sur le niveau du terrain naturel retenu dans les anciennes autorisations de construire délivrées pour l’immeuble concerné, ainsi que celles concernant les immeubles entourant la cour. Il ne se justifie en revanche pas, pour les mêmes raisons, d’examiner plus avant si, et, cas échéant, à quelles conditions, un aménagement du terrain pourrait être considéré comme « terrain naturel ». 7) a. L’immeuble concerné a été autorisé dans le cadre de la DD 8______. Les plans visés ne varietur le 22 mars 1968 et particulièrement le plan de la façade nord et le plan de coupe indiquent un niveau du sol à 372,58 m, côté cour. Dans une procédure d’autorisation ultérieure concernant un agrandissement sur cour du même immeuble (DD 9______), le plan coupe A-A’, visé ne varietur le 17 juin 1974, indique également un sol à 372,64 m.</w:t>
      </w:r>
    </w:p>
    <w:p>
      <w:r>
        <w:t>b. Dans le cadre de la procédure d’autorisation DD 7______, concernant les quatre immeubles à l’angle de la rue ______ et ______ durant laquelle les travaux d’aménagement de la cour ont été autorisés, le plan de coupe B-B, bâtiment E, rue ______, indique des locaux en sous-sol et un rez-de-chaussée se situant à l’altitude 372,66 m. Le plan du sous-sol visé ne varietur le 6 avril 1999, indique pour la cour : niv. – 190 = + 370,76 m, soit un niveau du sol à 372,66 m. Sur le</w:t>
      </w:r>
    </w:p>
    <w:p>
      <w:r>
        <w:t>- 12/14 - A/1645/2013 plan façade cour bâtiments E-F, le rez est indiqué : + 1 = 373,66 m. Pour ces constructions, il apparaît que le niveau naturel retenu était donc de 372,66 m.</w:t>
      </w:r>
    </w:p>
    <w:p>
      <w:r>
        <w:t>c. Dans la procédure d’autorisation DD 11______, concernant l’immeuble à l’angle rue ______ et rue ______, le niveau cour est indiqué à 372,5 m sur le plan de coupe servant au calcul du gabarit sur cour, visé ne varietur le 9 mars 2000. Il est important de relever qu’à cette date, la cour était déjà plus basse le long des façades des bâtiments, ce qui apparaît sur le plan.</w:t>
      </w:r>
    </w:p>
    <w:p>
      <w:r>
        <w:t>Il découle de ce qui précède que les niveaux du terrain de la cour pris en compte dans les différentes procédures d’autorisation, ont varié d’un maximum de 8 cm. S’agissant de l’immeuble concerné, la hauteur de 372,58 m ou 372,64 m avait été admise lors de sa construction et de l’agrandissement sur cour. Il convient de souligner que ces niveaux sont plus favorables à la recourante que le niveau de 372,5 m retenu par le département. 8)</w:t>
      </w:r>
    </w:p>
    <w:p>
      <w:r>
        <w:t>Au vu de ce qui précède, la chambre de céans considère que l’altitude du niveau moyen du terrain naturel adjacent, tel que nécessaire pour calculer le gabarit de l’immeuble est tout à fait déterminable, contrairement à ce qu’a retenu le TAPI dans son jugement. À cet égard, il faut également retenir que le département a prescrit, en cours de procédure, la prise en compte d’un niveau de terrain naturel à 372,5 m, comme l’y autorise l’art. 20 al. 1 RCI, niveau qui correspond également à celui des rues adjacentes. La fixation du niveau du terrain naturel à 372,5 m doit donc être retenue, en l’espèce. En outre, il faut relever, comme l’a admis le département, sur la base des plans modifiés en fonction de cette nouvelle cote, produits le 20 février 2014, que la différence de 20 cm, avec l’altitude prise en compte dans les plans de l’autorisation de construire, n’avait pas d’incidence sur la conformité du gabarit aux exigences légales.</w:t>
      </w:r>
    </w:p>
    <w:p>
      <w:r>
        <w:t>Le recours doit ainsi être admis et le jugement annulé. 9)</w:t>
      </w:r>
    </w:p>
    <w:p>
      <w:r>
        <w:t>Le département a annulé l’autorisation de construire puis est revenu sur sa décision, alors que le recours était toujours pendant devant le TAPI. Il ne se justifie toutefois pas d’examiner plus avant si les conditions d’une reconsidération au sens de l’art. 67 al. 2 LPA étaient remplies, puisque le recours a finalement conservé son objet et que les droits des parties n’ont pas été lésés par ces différentes décisions. En tout état de cause, le principe de l’économie de procédure commande également que l’affaire ne soit pas renvoyée au département pour qu’il délivre une nouvelle autorisation de construire.</w:t>
      </w:r>
    </w:p>
    <w:p>
      <w:r>
        <w:t>Le TAPI n’a pas procédé à l’examen des autres griefs soulevés par les habitants voisins dans leur recours. Afin de respecter le double degré de juridiction prévu dans le cadre de l’application de la LCI (art. 145, 149 LCI), il convient de renvoyer le dossier au TAPI pour qu’il reprenne l’instruction de la cause et se prononce sur les griefs restants.</w:t>
      </w:r>
    </w:p>
    <w:p>
      <w:r>
        <w:t>- 13/14 - A/1645/2013 10) Vu l’issue du litige, un émolument de CHF 500.- sera mis à la charge de Madame B______, Madame C______, Madame D______, Madame E______, Monsieur F______, Madame et Monsieur G______, Madame H______, Madame I______ Madame J______, Madame K______, Madame L______, Monsieur M______, Madame N______, Monsieur O______, Madame et Monsieur P______, Madame Q______, Madame R______, Madame S______, Madame T______, Monsieur U______, Monsieur V______, Monsieur W______, Monsieur X_____ et Monsieur Y______, pris conjointement et solidairement. Un autre émolument de CHF 500.- sera mis à la charge de la Ville de Genève (art. 87 al. 1 LPA).</w:t>
      </w:r>
    </w:p>
    <w:p>
      <w:r>
        <w:t>Aucune indemnité de procédure ne sera allouée à la recourante qui n’a pas pris de conclusion en ce sens dans son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