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ATA/1098/2016 vom 23. Dezember 2016</w:t>
      </w:r>
    </w:p>
    <w:p>
      <w:r>
        <w:t>GE Cour de justice, 2016-12-23, FR</w:t>
      </w:r>
    </w:p>
    <w:p>
      <w:r>
        <w:rPr>
          <w:b/>
        </w:rPr>
        <w:t xml:space="preserve">Quelle: </w:t>
      </w:r>
      <w:r>
        <w:t>https://mcp.opencaselaw.ch/entscheid/ge_gerichte_ATA_1098_2016</w:t>
      </w:r>
    </w:p>
    <w:p>
      <w:r>
        <w:t>FR: GE_GERICHTE ATA/1098/2016 du 23 décembre 2016</w:t>
      </w:r>
    </w:p>
    <w:p>
      <w:r>
        <w:t>IT: GE_GERICHTE ATA/1098/2016 del 23 dicembre 2016</w:t>
      </w:r>
    </w:p>
    <w:p>
      <w:pPr>
        <w:pStyle w:val="Heading2"/>
      </w:pPr>
      <w:r>
        <w:t>Erwägungen</w:t>
      </w:r>
    </w:p>
    <w:p>
      <w:r>
        <w:rPr>
          <w:b/>
        </w:rPr>
        <w:t>E. 1</w:t>
      </w:r>
    </w:p>
    <w:p>
      <w:r>
        <w:t>Monsieur A______, né en 1955, exploite depuis de très nombreuses années, en raison individuelle, le café-restaurant « B______ » sis à la rue C______à Genève.</w:t>
      </w:r>
    </w:p>
    <w:p>
      <w:r>
        <w:rPr>
          <w:b/>
        </w:rPr>
        <w:t>E. 2</w:t>
      </w:r>
    </w:p>
    <w:p>
      <w:r>
        <w:t>Le 24 mai 2016, suite à l'entrée en vigueur de la loi sur la restauration, le débit de boissons, l’hébergement et le divertissement, du 19 mars 2015 (LRDBHD - I 2 22), entrée en vigueur le 1er janvier 2016, qui prévoit dans ses dispositions transitoires que les titulaires d'autorisations délivrée sur la base de l'ancienne loi doivent en obtenir une nouvelle dans les douze mois à compter de l'entrée en vigueur de la LRDBHD, M. A______ a déposé une nouvelle demande d'autorisation d'exploiter auprès du service du commerce (ci-après : Scom).</w:t>
      </w:r>
    </w:p>
    <w:p>
      <w:r>
        <w:t>Parmi les pièces qu'il a produites et dont l'apport était obligatoire, son extrait de casier judiciaire contenait une condamnation, à savoir une amende de CHF 20'000.- prononcée le 27 août 2015 par l'administration fédérale des douanes (ci-après : AFD) pour soustraction douanière et soustraction de taxe sur la valeur ajoutée.</w:t>
      </w:r>
    </w:p>
    <w:p>
      <w:r>
        <w:rPr>
          <w:b/>
        </w:rPr>
        <w:t>E. 3</w:t>
      </w:r>
    </w:p>
    <w:p>
      <w:r>
        <w:t>Par décision du 17 novembre 2016, déclarée exécutoire nonobstant recours, le Scom a rejeté la demande d'autorisation d'exploiter le café-restaurant « B______ ».</w:t>
      </w:r>
    </w:p>
    <w:p>
      <w:r>
        <w:t>Il ressortait du mandat de répression de l'AFD du 27 août 2015 qu'il avait importé, à de nombreuses reprises entre le 20 janvier 2010 et le 21 janvier 2014, par des routes de la région genevoise, diverses denrées alimentaires telles que viande, huile ou œufs ainsi que du matériel, sans déclarer ces marchandises à la frontière.</w:t>
      </w:r>
    </w:p>
    <w:p>
      <w:r>
        <w:t>Il s'agissait d'infractions graves à la législation douanière, commises sur une durée de quatre ans, et présentant de surcroît un lien étroit avec l'exploitation de son établissement public.</w:t>
      </w:r>
    </w:p>
    <w:p>
      <w:r>
        <w:t>Dans ces circonstances, M. A______ ne remplissait pas la condition d'honorabilité prévue par la loi.</w:t>
      </w:r>
    </w:p>
    <w:p>
      <w:r>
        <w:rPr>
          <w:b/>
        </w:rPr>
        <w:t>E. 4</w:t>
      </w:r>
    </w:p>
    <w:p>
      <w:r>
        <w:t>Par acte déposé le 19 décembre 2016, M. A______ a interjeté recours auprès de la chambre administrative de la Cour de justice (ci-après : la chambre administrative) contre la décision précitée, concluant préalablement à l'octroi de mesures provisionnelles consistant en une autorisation provisoire d'exploiter ou à la restitution de l'effet suspensif, et principalement à l'annulation de la décision attaquée, au renvoi de la cause au Scom « au sens des considérants » et à l'octroi d'une indemnité de procédure.</w:t>
      </w:r>
    </w:p>
    <w:p>
      <w:r>
        <w:t>Il n'avait pas le temps de déposer une nouvelle demande avant la fin de l'année 2016, et son établissement, qu'il exploitait sans soucis depuis plus de trente ans, risquait de devoir fermer le 1er janvier 2017 faute d'autorisation, mettant en danger l'emploi des onze personnes qui y travaillaient.</w:t>
      </w:r>
    </w:p>
    <w:p>
      <w:r>
        <w:t>- 3/6 - A/4327/2016</w:t>
      </w:r>
    </w:p>
    <w:p>
      <w:r>
        <w:t>Vu ces conséquences dramatiques, et le fait que le Scom avait annoncé que les établissements demandant une autorisation pour la première fois pourraient obtenir des autorisations provisoires jusqu'à l'examen de leur requête, il convenait de lui permettre de poursuivre l'exploitation de son établissement, soit par l'octroi de mesures provisionnelles, soit par la restitution de l'effet suspensif au recours.</w:t>
      </w:r>
    </w:p>
    <w:p>
      <w:r>
        <w:rPr>
          <w:b/>
        </w:rPr>
        <w:t>E. 5</w:t>
      </w:r>
    </w:p>
    <w:p>
      <w:r>
        <w:t>Le 19 décembre 2016, le Scom a déclaré ne pas s'opposer à une restitution de l'effet suspensif au recours, tout en réservant expressément sa détermination sur le fond du litige.</w:t>
      </w:r>
    </w:p>
    <w:p>
      <w:r>
        <w:rPr>
          <w:b/>
        </w:rPr>
        <w:t>E. 6</w:t>
      </w:r>
    </w:p>
    <w:p>
      <w:r>
        <w:t>Sur ce, la cause a été gardée à juger sur la question de l'effet suspensif et des mesures provisionnelles.</w:t>
      </w:r>
    </w:p>
    <w:p>
      <w:r>
        <w:t>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w:t>
      </w:r>
    </w:p>
    <w:p>
      <w:r>
        <w:t>- 4/6 - A/4327/2016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3ème éd., 2011, p. 814 n. 5.8.3.3).</w:t>
      </w:r>
    </w:p>
    <w:p>
      <w:r>
        <w:t>Dans cette dernière hypothèse, seul l’octroi de mesures provisionnelles, aux conditions cependant restrictives de l’art. 21 LPA, est envisageable (ATA/198/2016 du 3 mars 2016 consid. 4 ; ATA/613/2014 précité consid. 5 ; ATA/70/2014 du 5 février 2014 consid. 4b) 2.</w:t>
      </w:r>
    </w:p>
    <w:p>
      <w:r>
        <w:t>En l’espèce, la décision attaquée rejette une demande qui ne vise pas à créer des droits et obligations modifiant la situation factuelle et juridique antérieure (ATA/296/2016 du 8 avril 2016) mais qui tend essentiellement au maintien et au renouvellement, sous la nouvelle LRDBHD, de l’autorisation déjà existante sous l’ancienne LRDBH (ATA/960/2016 du 14 novembre 2016 consid. 3).</w:t>
      </w:r>
    </w:p>
    <w:p>
      <w:r>
        <w:t>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w:t>
      </w:r>
    </w:p>
    <w:p>
      <w:r>
        <w:t>- 5/6 - A/4327/2016 prestations, à condition qu’elles obtiennent dans les douze mois à compter de l’entrée en vigueur de la présente loi – à savoir jusqu’au 31 décembre 2016 – les éventuelles autorisations complémentaires ou de remplacements nécessaires, leur permettant d’offrir lesdites prestations. On peut déduire de cette dernière disposition légale que si l’effet suspensif n’était pas restitué ou que des mesures provisionnelles n’étaient pas ordonnées, le recourant n’aurait, à compter du 1er janvier 2017, plus le droit d’exploiter son établissement faute de nouvelle autorisation octroyée sous l’empire de la nouvelle loi.</w:t>
      </w:r>
    </w:p>
    <w:p>
      <w:r>
        <w:t>Il est en l’état difficile de se prononcer sur les chances du recours qui ne peut pas être considéré d’emblée comme manifestement mal fondé, la question centrale du litige consistant à déterminer si la contravention douanière infligée au recourant en août 2015 justifie un refus d’une nouvelle autorisation et nécessitant un examen approfondi en fait et en droit.</w:t>
      </w:r>
    </w:p>
    <w:p>
      <w:r>
        <w:t>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l’intéressé continuait l’exploitation de son établissement.</w:t>
      </w:r>
    </w:p>
    <w:p>
      <w:r>
        <w:t>Au regard de ce qui précède, l’intérêt privé du recourant à la continuation de son exploitation prime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Au surplus, il sera rappelé que dans sa détermination, le service intimé ne s'oppose pas à la restitution de l'effet suspensif, 3.</w:t>
      </w:r>
    </w:p>
    <w:p>
      <w:r>
        <w:t>En définitive, le recourant sera, à titre provisoire, autorisé à continuer l’exploitation du café-restaurant à l’enseigne « B______ » jusqu’à droit jugé au fond. 4.</w:t>
      </w:r>
    </w:p>
    <w:p>
      <w:r>
        <w:t>Le sort des frais de la procédure est réservé jusqu’à droit jugé au fond.</w:t>
      </w:r>
    </w:p>
    <w:p>
      <w:r>
        <w:t>Vu le recours interjeté le 19 décembre 2016 par Monsieur A______ contre une décision service du commerce du 17 novembre 2016 ;</w:t>
      </w:r>
    </w:p>
    <w:p>
      <w:r>
        <w:t>vu l’art. 66 al. 3 de la loi sur la procédure administrative du 12 septembre 1985 ;</w:t>
      </w:r>
    </w:p>
    <w:p>
      <w:r>
        <w:t>vu l’art. 7 al. 1 du règlement de la chambre administrative du 21 décembre 2010 ;</w:t>
      </w:r>
    </w:p>
    <w:p>
      <w:r>
        <w:t>- 6/6 - A/4327/2016 LA CHAMBRE ADMINISTRATIVE autorise, à titre provisoire, Monsieur A______ à continuer l’exploitation du café-restaurant à l’enseigne « B______ » jusqu’à droit jugé au fond;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Michael Lavergnat, avocat du recourant, ainsi qu'au service du commerce.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