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ATA/1097/2017 vom 18. Juli 2017</w:t>
      </w:r>
    </w:p>
    <w:p>
      <w:r>
        <w:t>GE Cour de justice, 2017-07-18, FR</w:t>
      </w:r>
    </w:p>
    <w:p>
      <w:r>
        <w:rPr>
          <w:b/>
        </w:rPr>
        <w:t xml:space="preserve">Quelle: </w:t>
      </w:r>
      <w:r>
        <w:t>https://mcp.opencaselaw.ch/entscheid/ge_gerichte_ATA_1097_2017</w:t>
      </w:r>
    </w:p>
    <w:p>
      <w:r>
        <w:t>FR: GE_GERICHTE ATA/1097/2017 du 18 juillet 2017</w:t>
      </w:r>
    </w:p>
    <w:p>
      <w:r>
        <w:t>IT: GE_GERICHTE ATA/1097/2017 del 18 luglio 2017</w:t>
      </w:r>
    </w:p>
    <w:p>
      <w:pPr>
        <w:pStyle w:val="Heading2"/>
      </w:pPr>
      <w:r>
        <w:t>Erwägungen</w:t>
      </w:r>
    </w:p>
    <w:p>
      <w:r>
        <w:rPr>
          <w:b/>
        </w:rPr>
        <w:t>E. 12</w:t>
      </w:r>
    </w:p>
    <w:p>
      <w:r>
        <w:t>septembre 1985 - LPA - E 5 10). 2)</w:t>
      </w:r>
    </w:p>
    <w:p>
      <w:r>
        <w:t>Le litige porte principalement sur le calcul du nombre de pièces de l’appartement faisant l’objet de l’autorisation. 3)</w:t>
      </w:r>
    </w:p>
    <w:p>
      <w:r>
        <w:t>L’art. 1 RGL définit la façon de calculer le nombre de pièces des logements soumis à la LGL.</w:t>
      </w:r>
    </w:p>
    <w:p>
      <w:r>
        <w:t>- 6/9 - A/770/2016</w:t>
      </w:r>
    </w:p>
    <w:p>
      <w:r>
        <w:t>De jurisprudence, ancienne, constante et récemment confirmée, la chambre de céans a toujours considéré qu’il était possible d’appliquer la disposition précitée, par analogie, au calcul du nombre de pièces selon la loi sur les démolitions, transformations et rénovations de maisons d'habitation (mesures de soutien en faveur des locataires et de l'emploi) du 25 janvier 1996 (LDTR - L 5 20), les buts poursuivis par la LDTR et la LGL relevant d’un même souci de préserver l’habitat et de lutter contre la pénurie de logements à Genève (ATA/673/2017 du 20 juin 2017, ainsi que les références citées).</w:t>
      </w:r>
    </w:p>
    <w:p>
      <w:r>
        <w:t>Cette jurisprudence a aussi été confirmée par le Tribunal fédéral dans un arrêt 1C_323/2014 du 10 octobre 2014 consid. 7.2. 4)</w:t>
      </w:r>
    </w:p>
    <w:p>
      <w:r>
        <w:t>La recourante se plaint d’un excès négatif dans le pouvoir d’appréciation du DALE, ce dernier ayant appliqué selon elle une solution trop schématique ne tenant pas compte des particularités du cas d’espèce, soit le fait que, depuis plus de quarante ans, les logements en question ont été considérés comme des deux pièces et demie.</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Constitue un excès négatif du pouvoir d’appréciation le fait que l’administration se considère comme liée, alors que la loi l’autorise à statuer selon son appréciation ou encore qu’elle renonce d’emblée en tout ou partie à exercer ce pouvoir (ATA/473/2016 du 7 juin 2016).</w:t>
      </w:r>
    </w:p>
    <w:p>
      <w:r>
        <w:t>Ce grief ne peut être retenu. En premier lieu, une simple consultation du plan des logements en question démontre qu’il n’est pas constitué de deux pièces et demie. La cuisine est uniquement un laboratoire où il n’est pas possible de manger. La chambre à coucher est ouverte sur la pièce principale, sans qu’il ne soit possible d’y avoir de l’intimité ou d’y isoler par exemple un enfant pour qu’il dorme.</w:t>
      </w:r>
    </w:p>
    <w:p>
      <w:r>
        <w:t>Face à cette réalité, les éléments mis en avant par la recourante, principalement le nombre de pièces retenu par les autorités pour les appartements concernés depuis l’édification du bâtiment, sont inaptes à modifier le décompte des pièces de ces appartements qui vient d’être exposé.</w:t>
      </w:r>
    </w:p>
    <w:p>
      <w:r>
        <w:t>Ainsi, l’appréciation de l’autorité ne peut être considérée comme excédant le pouvoir d’appréciation dont elle dispose et ne prête pas le flanc à la critique.</w:t>
      </w:r>
    </w:p>
    <w:p>
      <w:r>
        <w:t>- 7/9 - A/770/2016 5)</w:t>
      </w:r>
    </w:p>
    <w:p>
      <w:r>
        <w:t>La recourante soutient que le DALE et l’autorité judiciaire de première instance, en retenant que les appartements concernés sont constitués de deux pièces et non de deux pièces et demie, ont procédé à un changement de pratique inadmissible et violé le principe de l’inégalité de traitement.</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 ATA/20/2015 du 6 janvier 2015).</w:t>
      </w:r>
    </w:p>
    <w:p>
      <w:r>
        <w:t>b. En l’espèce, le DALE n’a pas procédé à un changement de pratique. Ainsi que rappelé ci-dessus, les règles de calcul du nombre de pièces prévues par la LGL et le RGL sont régulièrement utilisées dans le cadre de la LDTR à tout le moins depuis dix ans (ATA/567/2005 du 16 août 2005). Dans ce cadre, la délivrance de l’APA 3’392 en 2010, laquelle retient deux pièces et demie pour des logements similaires, doit sur ce point être considérée comme erronée et est contraire aux règles qui auraient dû être appliquées.</w:t>
      </w:r>
    </w:p>
    <w:p>
      <w:r>
        <w:t>Ce grief doit en conséquence aussi être écarté. 6)</w:t>
      </w:r>
    </w:p>
    <w:p>
      <w:r>
        <w:t>La fondation soutient que, en appliquant à des logements édifiés il y a plusieurs dizaines d’années la méthode de comptage des pièces instaurée par la LGL et le RGL, le département et le TAPI auraient violé l’interdiction de la rétroactivité des lois.</w:t>
      </w:r>
    </w:p>
    <w:p>
      <w:r>
        <w:t>a. En règle générale, s'appliquent aux faits dont les conséquences juridiques sont en cause, les normes en vigueur au moment où ces faits se produisent (ATA/412/2017 du 11 avril 2017 consid. 6 et les références citées ; Pierre MOOR/Alexandre FLÜCKIGER/Vincent MARTENET, Droit administratif, 3ème éd., 2012, vol. 1, p. 184).</w:t>
      </w:r>
    </w:p>
    <w:p>
      <w:r>
        <w:t>Liée aux principes de sécurité du droit et de prévisibilité, l'interdiction de la rétroactivité des lois résulte du droit à l'égalité de l'art. 8 de la Constitution fédérale de la Confédération suisse du 18 avril 1999 (Cst. - RS 101), ainsi que de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w:t>
      </w:r>
    </w:p>
    <w:p>
      <w:r>
        <w:t>- 8/9 - A/770/2016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ATF 122 V 405 consid. 3b/aa ; arrêts du Tribunal fédéral 1C_366/2016 du 13 février 2017 consid. 2.1 ; 2C_273/2014 du 23 juillet 2014 consid. 4.1 ; ATA/412/2017 précité consid. 6).</w:t>
      </w:r>
    </w:p>
    <w:p>
      <w:r>
        <w:t>b. En l’espèce, il ne s’agit pas d’appliquer rétroactivement la LGL et le RGL, mais d’utiliser, par analogie, les règles prévues par ces textes pour fixer le nombre de pièces des logements concernés. Le résultat obtenu, qui coïncide avec la réalité physique de l’appartement en question, ne saurait dès lors violer d’une quelconque manière le principe rappelé ci-dessus.</w:t>
      </w:r>
    </w:p>
    <w:p>
      <w:r>
        <w:t>En conséquence, ce grief sera écarté. 7)</w:t>
      </w:r>
    </w:p>
    <w:p>
      <w:r>
        <w:t>Au vu de ce qui précède, le recours sera rejeté.</w:t>
      </w:r>
    </w:p>
    <w:p>
      <w:r>
        <w:t>Un émolument de CHF 1'000.- sera mis à la charge de la recourante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