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ATA/1095/2015 vom 13. Oktober 2015</w:t>
      </w:r>
    </w:p>
    <w:p>
      <w:r>
        <w:t>GE Cour de justice, 2015-10-13, FR</w:t>
      </w:r>
    </w:p>
    <w:p>
      <w:r>
        <w:rPr>
          <w:b/>
        </w:rPr>
        <w:t xml:space="preserve">Quelle: </w:t>
      </w:r>
      <w:r>
        <w:t>https://mcp.opencaselaw.ch/entscheid/ge_gerichte_ATA_1095_2015</w:t>
      </w:r>
    </w:p>
    <w:p>
      <w:r>
        <w:t>FR: GE_GERICHTE ATA/1095/2015 du 13 octobre 2015</w:t>
      </w:r>
    </w:p>
    <w:p>
      <w:r>
        <w:t>IT: GE_GERICHTE ATA/1095/2015 del 13 ottobre 2015</w:t>
      </w:r>
    </w:p>
    <w:p>
      <w:pPr>
        <w:pStyle w:val="Heading2"/>
      </w:pPr>
      <w:r>
        <w:t>Erwägungen</w:t>
      </w:r>
    </w:p>
    <w:p>
      <w:r>
        <w:rPr>
          <w:b/>
        </w:rPr>
        <w:t>E. 18</w:t>
      </w:r>
    </w:p>
    <w:p>
      <w:r>
        <w:t>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(ATA/870/2015 précité consid. 2b ; ATA/171/2014 précité consid. 2c et les références citées).</w:t>
      </w:r>
    </w:p>
    <w:p>
      <w:r>
        <w:t>- 5/8 - A/430/2015 4)</w:t>
      </w:r>
    </w:p>
    <w:p>
      <w:r>
        <w:t>En l'espèce, l'acte de recours ne contient aucune conclusion formelle, et les arguments présentés par la recourante concernent au premier chef le litige relatif aux prestations complémentaires, déjà tranché par la chambre des assurances sociales. Invitée en outre à produire des observations complémentaires, la recourante s'en est abstenue. Il est dès lors douteux que le recours soit recevable faute de conclusions et de griefs propres au présent litige. La question peut toutefois souffrir de rester ouverte, dans la mesure où le recours devrait de toute façon se voir rejeter pour les motifs qui suivent. 5)</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PJA 11/2004 p. 1348 ss, 1354 ; Andreas AUER/Giorgio MALINVERNI/Michel HOTTELIER, Droit constitutionnel suisse, vol. II, 2ème éd., 2006, p. 680).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6) a. En droit genevois, la loi sur l'insertion et l'aide sociale individuelle du</w:t>
      </w:r>
    </w:p>
    <w:p>
      <w:r>
        <w:rPr>
          <w:b/>
        </w:rPr>
        <w:t>E. 22</w:t>
      </w:r>
    </w:p>
    <w:p>
      <w:r>
        <w:t>mars 2007 (LIASI - J 4 04) et le règlement d'exécution de la LIASI, du</w:t>
      </w:r>
    </w:p>
    <w:p>
      <w:r>
        <w:rPr>
          <w:b/>
        </w:rPr>
        <w:t>E. 25</w:t>
      </w:r>
    </w:p>
    <w:p>
      <w:r>
        <w:t>juillet 2007 (RIASI - J 4 04.01) concrétisent l’art. 12 Cst. (ATA/452/2012 du</w:t>
      </w:r>
    </w:p>
    <w:p>
      <w:r>
        <w:rPr>
          <w:b/>
        </w:rPr>
        <w:t>E. 30</w:t>
      </w:r>
    </w:p>
    <w:p>
      <w:r>
        <w:t>juillet 2012 ; ATA/440/2009 du 8 septembre 2009 ; ATA/809/2005 du 29 novembre 2005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- 6/8 - A/430/2015</w:t>
      </w:r>
    </w:p>
    <w:p>
      <w:r>
        <w:t>c. La LIASI prévoit trois barèmes d’aide financière différents, soit l’aide financière ordinaire (art. 21 et ss LIASI ; chapitre I RIASI), l’aide financière exceptionnelle (art. 11 al. 4 LIASI ; chapitre II RIASI) et l’aide d’urgence (chapitre IV LIASI ; chapitre VI RIASI). 7)</w:t>
      </w:r>
    </w:p>
    <w:p>
      <w:r>
        <w:t>L’hospice est l’organe d’exécution de la LIASI sous la surveillance du département (art. 3 al. 1 LIASI). Aux termes de l’art. 3 al. 2 LIASI, le SPC gère et verse, pour le compte de l’hospice, les prestations d’aide sociale pour les personnes ayant atteint l’âge de l’AVS, au bénéfice d’une rente AI ou au bénéfice de prestations complémentaires familiales.</w:t>
      </w:r>
    </w:p>
    <w:p>
      <w:r>
        <w:t>Le SPC reçoit et instruit les demandes de prestations visées par l’art. 3 al. 2 LIASI, procède aux calculs, rend les décisions et verse les prestations. Le versement de ces dernières émarge à son propre budget (art. 22 al. 1 RIASI).</w:t>
      </w:r>
    </w:p>
    <w:p>
      <w:r>
        <w:t>Les art. 50 à 53 LIASI sont applicables par analogie aux décisions du SPC (art. 22 al. 3 RIASI). 8) a. Selon l’art. 21 al. 1 LIASI, ont droit aux prestations d’aide financière, les personnes dont le revenu mensuel déterminant n’atteint pas le montant destiné à la couverture des besoins de base, et dont la fortune ne dépasse pas les limites fixées par le RIASI. Est déterminante la fortune au 31 décembre de l’année précédant celle pour laquelle la prestation est demandée ; toutefois, en cas de modification notable de la fortune du bénéficiaire, la prestation est fixée conformément à la situation nouvelle (art. 27 al. 1 let. b et al. 2 LIASI).</w:t>
      </w:r>
    </w:p>
    <w:p>
      <w:r>
        <w:t>b.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9)</w:t>
      </w:r>
    </w:p>
    <w:p>
      <w:r>
        <w:t>En l'espèce, le plan de calcul joint à la décision sur opposition attaquée retient un montant de fortune mobilière de CHF 11'762.40. Ce montant correspond à très peu de choses près au relevé de compte de la banque indiquant un solde final au 31 janvier 2014 de CHF 11'765.40, étant précisé que ledit relevé de compte était l'extrait le plus récent fourni par la recourante en annexe de sa demande de prestations d'aide sociale en avril 2014. Depuis lors, et bien qu'elle ait allégué dans son opposition que son compte bancaire avait fortement diminué, elle n'a jamais ni réitéré ni surtout étayé ces propos. Il n'est dès lors en l'état pas possible de retenir un autre montant au titre de la fortune.</w:t>
      </w:r>
    </w:p>
    <w:p>
      <w:r>
        <w:t>Or selon l'art. 1 al. 1 RIASI cité plus haut, la limite de fortune applicable à la recourante, en tant que personne seule majeure vivant avec sa fille, s'élève à CHF 6'000.-.</w:t>
      </w:r>
    </w:p>
    <w:p>
      <w:r>
        <w:t>- 7/8 - A/430/2015 10) On ne saurait dès lors admettre que le SPC ait abusé de son pouvoir d'appréciation, ou violé la loi, en lui refusant l'octroi de prestations d'assistance.</w:t>
      </w:r>
    </w:p>
    <w:p>
      <w:r>
        <w:t>Le recours sera dès lors rejeté en tant qu'il est recevable. 11)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