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ATA/1094/2018 vom 16. Oktober 2018</w:t>
      </w:r>
    </w:p>
    <w:p>
      <w:r>
        <w:t>GE Cour de justice, 2018-10-16, FR</w:t>
      </w:r>
    </w:p>
    <w:p>
      <w:r>
        <w:rPr>
          <w:b/>
        </w:rPr>
        <w:t xml:space="preserve">Quelle: </w:t>
      </w:r>
      <w:r>
        <w:t>https://mcp.opencaselaw.ch/entscheid/ge_gerichte_ATA_1094_2018</w:t>
      </w:r>
    </w:p>
    <w:p>
      <w:r>
        <w:t>FR: GE_GERICHTE ATA/1094/2018 du 16 octobre 2018</w:t>
      </w:r>
    </w:p>
    <w:p>
      <w:r>
        <w:t>IT: GE_GERICHTE ATA/1094/2018 del 16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lequel confirme la décision de l’autorité intimée refusant le renouvellement de autorisation de séjour de la recourante, prononçant son renvoi de Suisse et ordonnant l’exécution de cette mesure.</w:t>
      </w:r>
    </w:p>
    <w:p>
      <w:r>
        <w:rPr>
          <w:b/>
        </w:rPr>
        <w:t>E. 3</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la Tunisie.</w:t>
      </w:r>
    </w:p>
    <w:p>
      <w:r>
        <w:rPr>
          <w:b/>
        </w:rPr>
        <w:t>E. 4</w:t>
      </w:r>
    </w:p>
    <w:p>
      <w:r>
        <w:t>Après la dissolution de la famille, le droit du conjoint et des enfants à l'octroi d'une autorisation de séjour et à la prolongation de sa durée de validité en vertu des art. 42 et 43 LEtr subsiste lorsque l'union conjugale a duré au moins</w:t>
      </w:r>
    </w:p>
    <w:p>
      <w:r>
        <w:t>- 8/17 - A/4411/2017 trois ans et que l'intégration est réussie (art. 50 al. 1 let. a LEtr et 77 al. 1 let. a OASA).</w:t>
      </w:r>
    </w:p>
    <w:p>
      <w:r>
        <w:t>En l’espèce, il n’est pas contesté que l’union conjugale de la recourante et son époux a duré moins de trois ans et que l’autorisation de séjour de celle-ci ne peut être renouvelée en application de l’art. 50 al. 1 let. a LEtr.</w:t>
      </w:r>
    </w:p>
    <w:p>
      <w:r>
        <w:rPr>
          <w:b/>
        </w:rPr>
        <w:t>E. 5</w:t>
      </w:r>
    </w:p>
    <w:p>
      <w:r>
        <w:t>a. Le droit au renouvellement de l'autorisation de séjour délivrée en vertu des art. 42 et 43 LEtr subsiste si la poursuite du séjour en Suisse s'impose pour des raisons personnelles majeures (art. 50 al. 1 let. b LEtr et 77 al. 1 let. b OASA).</w:t>
      </w:r>
    </w:p>
    <w:p>
      <w:r>
        <w:t>b. L’art. 50 al. 1 let. b et al. 2 LEtr a pour vocation d’éviter les cas de rigueur ou d’extrême gravité (ATF 137 II 1 consid. 3.1 ; arrêts du Tribunal fédéral 2C_500/2014 du 18 juillet 2014 consid. 7.1 ; 2C_165/2014 du 18 juillet 2014 consid. 3.1 ; 2C_220/2014 du 4 juillet 2014 consid. 2.3).</w:t>
      </w:r>
    </w:p>
    <w:p>
      <w:r>
        <w:t>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w:t>
      </w:r>
    </w:p>
    <w:p>
      <w:r>
        <w:t>- 9/17 - A/4411/2017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rPr>
          <w:b/>
        </w:rPr>
        <w:t>E. 6</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7</w:t>
      </w:r>
    </w:p>
    <w:p>
      <w:r>
        <w:t>Des raisons personnelles majeures sont notamment données lorsque le conjoint est victime de violences conjugales (art. 50 al. 2 LEtr et 77 al. 2 OASA).</w:t>
      </w:r>
    </w:p>
    <w:p>
      <w:r>
        <w:t>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w:t>
      </w:r>
    </w:p>
    <w:p>
      <w:r>
        <w:t>- 10/17 - A/4411/2017 al. 2 LEtr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b. 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(arrêt du Tribunal fédéral 2C_777/2015 du 26 mai 2016 consid. 3.2 non publié in ATF 142 I 152 ; arrêts du Tribunal fédéral 2C_1085/2017 du 22 mai 2018 consid. 3.3 et 2C_649/2015 du 1er avril 2016 consid. 4.2).</w:t>
      </w:r>
    </w:p>
    <w:p>
      <w:r>
        <w:t>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w:t>
      </w:r>
    </w:p>
    <w:p>
      <w:r>
        <w:t>L'arrêt 2C_968/2012 exhorte la victime alléguée de violences à "illustrer de façon concrète et objective ainsi qu['à] établir par preuves le caractère systématique de la maltraitance, respectivement sa durée, ainsi que les pressions subjectives qui en résultent" (consid. 3.2), tandis que l' ATF 138 II 229 exige que la situation de violence ou d'oppression domestique soit rendue vraisemblable d'une manière appropriée, notamment à l'aide de rapports divers mais aussi d'avis d'experts ou de témoignages crédibles (consid. 3.2.3).</w:t>
      </w:r>
    </w:p>
    <w:p>
      <w:r>
        <w:t>Le Tribunal fédéral a récemment retenu (ATF 142 I 152 et les références citées) que, certes,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(art. 77 al. 5 OASA), la prétendue victime est en tout état soumise à un devoir de coopération accru et doit étayer par preuves ses allégués de maltraitance (ATF 138 II 229 consid. 3.2.3 ; art. 90 LEtr). Il n'en reste pas</w:t>
      </w:r>
    </w:p>
    <w:p>
      <w:r>
        <w:t>- 11/17 - A/4411/2017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w:t>
      </w:r>
    </w:p>
    <w:p>
      <w:r>
        <w:t>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 2C_777/2015 du 26 mai 2016 consid. 3.3 non publié aux ATF 142 I 152; ATF 138 II 229 consid. 3.2.3).</w:t>
      </w:r>
    </w:p>
    <w:p>
      <w:r>
        <w:rPr>
          <w:b/>
        </w:rPr>
        <w:t>E. 8</w:t>
      </w:r>
    </w:p>
    <w:p>
      <w:r>
        <w:t>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 p. 298 s.).</w:t>
      </w:r>
    </w:p>
    <w:p>
      <w:r>
        <w:t>En matière de droit des étrangers, l'art. 90 LEtr met un devoir spécifique de collaborer à la constatation des faits déterminants à la charge de l'étranger ou des tiers participants (arrêts du Tribunal fédéral 2C_787/2016 du 18 janvier 2017 consid. 3.1 et 2C_777/2015 du 26 mai 2016 consid. 3.3, non publié in ATF 142 I 152).</w:t>
      </w:r>
    </w:p>
    <w:p>
      <w:r>
        <w:rPr>
          <w:b/>
        </w:rPr>
        <w:t>E. 9</w:t>
      </w:r>
    </w:p>
    <w:p>
      <w:r>
        <w:t>En l’espèce, la recourante allègue avoir été victime de violences conjugales.</w:t>
      </w:r>
    </w:p>
    <w:p>
      <w:r>
        <w:t>a. Le dossier ne contient que des certificats médicaux. Aucun rapport de police, plainte pénale, ordonnance ou jugement en application de l’art. 28 b CC ou jugement pénal n’existe.</w:t>
      </w:r>
    </w:p>
    <w:p>
      <w:r>
        <w:t>L’examen des indices de violence conjugale doit en conséquence se faire sur les seuls certificats médicaux produits.</w:t>
      </w:r>
    </w:p>
    <w:p>
      <w:r>
        <w:t>b. Les quatre documents médicaux versés au dossier ont été établis par un psychiatre et un psychologue. Ils font état de violence conjugale dont aurait été victime la recourante de la part de son époux. Toutefois, aucune de ces attestations</w:t>
      </w:r>
    </w:p>
    <w:p>
      <w:r>
        <w:t>- 12/17 - A/4411/2017 médicales, ni aucune pièce du dossier ne permet de savoir en quoi ont consisté les violences conjugales alléguées. Les seules indications consistent en un épisode le 4 mars 2012 de violences verbale et physique, et « d’autres épisodes ». Ni les praticiens précités ni la recourante ne donnent la moindre indication supplémentaire. S’il n’est pas contesté qu’un acte de violence isolé, mais particulièrement grave puisse à lui seul conduire à admettre l’existence de raisons personnelles majeures, le Tribunal fédéral a rappelé que le devoir de collaboration des étrangers est important sur cette problématique. Ils doivent rendre l’existence d’une violence conjugale crédible, démontrer la répétition et l’intensité des atteintes en s’appuyant sur des preuves adéquates (ATF 138 II 299 consid. 3.2.3).</w:t>
      </w:r>
    </w:p>
    <w:p>
      <w:r>
        <w:t>En l’espèce, outre que l’on ignore la nature précise de l’épisode du 4 mars 2012, le lieu de commission desdites violences, la fréquence des répétitions de ces violences, alléguées par la recourante, celle-ci n’en démontre pas non plus l’intensité requise par la jurisprudence du Tribunal fédéral. Les conséquences apparaissent certes, à lire l’attestation du 21 février 2013, importantes. Toutefois, cette attestation a été établie plus de six mois après la séparation du couple. Elle fait mention d’un suivi dès le 12 mars 2012, soit moins d’une semaine après l’épisode invoqué du 4 mars 2012. Elle ne donne cependant aucune précision sur l’épisode du 4 mars 2012 et ne fait pas non plus mention d’un état particulier lors de la première consultation. De même, le praticien n’indique pas avoir conseillé à sa patiente d’aller consulter un médecin, l’attestation rédigée en janvier 2013 indiquant « vu son état de grande souffrance psychologique, elle m’avoue n’avoir pas eu le réflexe d’aller consulter chez un médecin somaticien ». Enfin, le psychologue mentionne que la raison de la consultation serait, selon les dires de sa patiente, la violence subie le 4 mars 2012.</w:t>
      </w:r>
    </w:p>
    <w:p>
      <w:r>
        <w:t>Les attestations médicales indiquent aussi comme cause des troubles présentés par la recourante, respectivement le silence de son époux quant à sa volonté de se séparer ou de reprendre la vie commune (attestation du 23 janvier 2014) ou le fait d’avoir été « abandonnée » par son époux, ce qui l’a « laissée dans le désarroi et l’incertitude relative à son séjour à Genève ». Or, ces causes ne relèvent pas de violence conjugale au sens de la LEtr et de la jurisprudence y relative.</w:t>
      </w:r>
    </w:p>
    <w:p>
      <w:r>
        <w:t>Cette position est par ailleurs contradictoire avec les pièces du dossier, M. B______ indiquant avoir quitté le domicile conjugal le 8 avril 2012, soit deux mois après le mariage et mentionnant, dès le 11 février 2013, vivre avec une tierce personne, dont il fournissait les coordonnées, et souhaiter le divorce. À ce titre, les allégations de la recourante d’avoir proposé une thérapie à son époux ne sont appuyées par aucune pièce du dossier, ni même aucune allégation ne serait-ce que sur le nom du thérapeute proposé. Le psychologue en fait aussi mention en indiquant que l’intéressée « a proposé à son mari de suivre une thérapie de couple, ce qu’il a refusé plus d’une fois ». Cette affirmation n’est, là encore, étayée par</w:t>
      </w:r>
    </w:p>
    <w:p>
      <w:r>
        <w:t>- 13/17 - A/4411/2017 aucun renseignement plus précis. On ignore de même quand, comment et où l’intéressée l’aurait proposé à son époux, ce d’autant plus que, selon celui-ci, il n’avait plus de contacts avec sa femme.</w:t>
      </w:r>
    </w:p>
    <w:p>
      <w:r>
        <w:t>La force probante des attestations médicales doit en conséquence être relativisée.</w:t>
      </w:r>
    </w:p>
    <w:p>
      <w:r>
        <w:t>c. Par ailleurs, à aucun moment de la procédure, la recourante n’a proposé de témoignages de son entourage qui puissent conforter ses allégations, que cela soit dans le caractère violent, « dépendant de drogue et d’alcool » de son époux, ou de la gravité des séquelles de ces violences sur elle-même. Or, l’importance de l’entourage de la recourante est mise en avant par la Dresse D______ dans son attestation du 2 juin 2014 à l’intention de l’assurance-invalidité où celle-ci détaille la nécessité de la recourante de se « soigner et de se reconstruire » à Genève, notamment grâce à son entourage.</w:t>
      </w:r>
    </w:p>
    <w:p>
      <w:r>
        <w:t>d. De surcroît, contrairement à son devoir de renseigner l’autorité, la recourante a attendu de recevoir une demande d’information de l’OCPM pour confirmer qu’elle était effectivement séparée de son époux, alors qu’elle a écrit à l’OCPM pour solliciter le regroupement familial notamment le 2 juillet 2012 et</w:t>
      </w:r>
    </w:p>
    <w:p>
      <w:r>
        <w:rPr>
          <w:b/>
        </w:rPr>
        <w:t>E. 12</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