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ATA/1094/2016 vom 22. Dezember 2016</w:t>
      </w:r>
    </w:p>
    <w:p>
      <w:r>
        <w:t>GE Cour de justice, 2016-12-22, FR</w:t>
      </w:r>
    </w:p>
    <w:p>
      <w:r>
        <w:rPr>
          <w:b/>
        </w:rPr>
        <w:t xml:space="preserve">Quelle: </w:t>
      </w:r>
      <w:r>
        <w:t>https://mcp.opencaselaw.ch/entscheid/ge_gerichte_ATA_1094_2016</w:t>
      </w:r>
    </w:p>
    <w:p>
      <w:r>
        <w:t>FR: GE_GERICHTE ATA/1094/2016 du 22 décembre 2016</w:t>
      </w:r>
    </w:p>
    <w:p>
      <w:r>
        <w:t>IT: GE_GERICHTE ATA/1094/2016 del 22 dicembre 2016</w:t>
      </w:r>
    </w:p>
    <w:p>
      <w:pPr>
        <w:pStyle w:val="Heading2"/>
      </w:pPr>
      <w:r>
        <w:t>Erwägungen</w:t>
      </w:r>
    </w:p>
    <w:p>
      <w:r>
        <w:rPr>
          <w:b/>
        </w:rPr>
        <w:t>E. 1</w:t>
      </w:r>
    </w:p>
    <w:p>
      <w:r>
        <w:t>Interjeté en temps utile – c’est-à-dire dans le délai de dix jours dès la modification –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1ère phr. La LEtr, la chambre administrative doit statuer dans les dix jours qui suivent sa saisine.</w:t>
      </w:r>
    </w:p>
    <w:p>
      <w:r>
        <w:t>Ayant reçu le recours le 12 décembre 2016 et statuant ce jour, le délai susmentionné est respecté.</w:t>
      </w:r>
    </w:p>
    <w:p>
      <w:r>
        <w:rPr>
          <w:b/>
        </w:rPr>
        <w:t>E. 3</w:t>
      </w:r>
    </w:p>
    <w:p>
      <w:r>
        <w:t>La chambre administrative est compétente pour apprécier l'opportunité des décisions portées devant elle en cette matière (art. 10 al. 2 2ème phr. LaLEtr).</w:t>
      </w:r>
    </w:p>
    <w:p>
      <w:r>
        <w:rPr>
          <w:b/>
        </w:rPr>
        <w:t>E. 4</w:t>
      </w:r>
    </w:p>
    <w:p>
      <w:r>
        <w:t>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 arrêts du Tribunal fédéral 2C_256/2013 du 10 avril 2013 consid. 4.1 ; 2C_1017/2012 du 30 octobre 2012 consid. 3 et les jurisprudences citées) et de l'art. 31 de la Constitution fédérale de la Confédération suisse du 18 avril 1999 (Cst. - RS 101), ce qui</w:t>
      </w:r>
    </w:p>
    <w:p>
      <w:r>
        <w:t>- 4/6 - A/4010/2016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rPr>
          <w:b/>
        </w:rPr>
        <w:t>E. 5</w:t>
      </w:r>
    </w:p>
    <w:p>
      <w:r>
        <w:t>Aux termes de l’art. 77 LEtr (détention en vue du renvoi ou de l’expulsion en cas de non-collaboration à l’obtention des documents de voyage), l’autorité cantonale compétente peut ordonner la détention d’un étranger afin d’assurer l’exécution de son renvoi ou de son expulsion aux conditions suivantes : a. une décision exécutoire a été prononcée ; b. il n’a pas quitté la Suisse dans le délai imparti ; c. l’autorité a dû se procurer elle-même les documents de voyage (al. 1) ; la durée de la détention ne peut excéder soixante jours (al. 2) ; les démarches nécessaires à l’exécution du renvoi ou de l’expulsion doivent être entreprises sans tarder (al. 3).</w:t>
      </w:r>
    </w:p>
    <w:p>
      <w:r>
        <w:rPr>
          <w:b/>
        </w:rPr>
        <w:t>E. 6</w:t>
      </w:r>
    </w:p>
    <w:p>
      <w:r>
        <w:t>En l’espèce, le recourant fait l’objet d’une décision fédérale de renvoi de Suisse, définitive et exécutoire. Il n’a pas quitté la Suisse dans le délai imparti. Il s’est au contraire montré peu collaborant, mentant sur l’existence de documents d’identité – ce qui a contraint les autorités suisses à faire le nécessaire auprès des autorités géorgiennes pour obtenir un laissez-passer – disparaissant de son lieu de séjour et déclarant ne pas vouloir retourner en Géorgie.</w:t>
      </w:r>
    </w:p>
    <w:p>
      <w:r>
        <w:t>Les conditions nécessaires et cumulatives de l’art. 77 al. 1 LEtr sont ainsi remplies, ce que l’intéressé ne conteste du reste pas.</w:t>
      </w:r>
    </w:p>
    <w:p>
      <w:r>
        <w:rPr>
          <w:b/>
        </w:rPr>
        <w:t>E. 7</w:t>
      </w:r>
    </w:p>
    <w:p>
      <w:r>
        <w:t>La mesure respecte le principe de la proportionnalité, dès lors qu’aucune mesure alternative n’apparaît apte à garantir la présence du recourant – qui avait déjà disparu dans la clandestinité – le jour de son renvoi et qu’il y a lieu de permettre aux autorités compétentes d’entreprendre rapidement les démarches utiles pour un nouveau vol davantage encadré en cas d’opposition de l’intéressé à prendre le vol ordinaire sur lequel une place lui a été réservée, dites démarches comprenant cas échéant une demande de renouvellement de la détention de l’intéressé.</w:t>
      </w:r>
    </w:p>
    <w:p>
      <w:r>
        <w:rPr>
          <w:b/>
        </w:rPr>
        <w:t>E. 8</w:t>
      </w:r>
    </w:p>
    <w:p>
      <w:r>
        <w:t>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b. Tant que l’impossibilité du renvoi dépend de la volonté de l’étranger de collaborer avec les autorités, celui-ci ne peut se prévaloir de cette impossibilité</w:t>
      </w:r>
    </w:p>
    <w:p>
      <w:r>
        <w:t>- 5/6 - A/4010/2016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(ATA/381/2012 du 13 juin 2012 ; ATA/283/2012 du 8 mai 2012 ; ATA/257/2012 du 2 mai 2012).</w:t>
      </w:r>
    </w:p>
    <w:p>
      <w:r>
        <w:t>c.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w:t>
      </w:r>
    </w:p>
    <w:p>
      <w:r>
        <w:t>d. En l’espèce, le recourant n’allègue pas d’impossibilité à l’exécution de son renvoi, ni le caractère inexigible de l’exécution de celui-ci.</w:t>
      </w:r>
    </w:p>
    <w:p>
      <w:r>
        <w:t>La mise en détention administrative ne contrevient pas à l’art. 80 LEtr.</w:t>
      </w:r>
    </w:p>
    <w:p>
      <w:r>
        <w:rPr>
          <w:b/>
        </w:rPr>
        <w:t>E. 9</w:t>
      </w:r>
    </w:p>
    <w:p>
      <w:r>
        <w:t>Au vu de ce qui précède, le recours, mal fondé, sera rejeté.</w:t>
      </w:r>
    </w:p>
    <w:p>
      <w:r>
        <w:rPr>
          <w:b/>
        </w:rPr>
        <w:t>E. 10</w:t>
      </w:r>
    </w:p>
    <w:p>
      <w:r>
        <w:t>Vu la nature et l’issue du litige, aucun émolument ne sera perçu ni aucune indemnité de procédure allouée (art. 87 al. 1et 2 LPA ; art. 12 du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